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D902A" w14:textId="77777777" w:rsidR="00503E65" w:rsidRDefault="00503E65" w:rsidP="00190E97">
      <w:pPr>
        <w:pStyle w:val="punktowanieANES"/>
        <w:numPr>
          <w:ilvl w:val="0"/>
          <w:numId w:val="0"/>
        </w:numPr>
        <w:ind w:left="357"/>
      </w:pPr>
    </w:p>
    <w:p w14:paraId="6E80583F" w14:textId="77777777" w:rsidR="00503E65" w:rsidRPr="006A22E8" w:rsidRDefault="00503E65" w:rsidP="00503E65">
      <w:pPr>
        <w:pStyle w:val="tytuANES"/>
      </w:pPr>
      <w:bookmarkStart w:id="0" w:name="_Toc464985904"/>
      <w:r w:rsidRPr="006A22E8">
        <w:t>OPIS TECHNICZNY</w:t>
      </w:r>
    </w:p>
    <w:p w14:paraId="4CC6638B" w14:textId="2A4E426F" w:rsidR="00503E65" w:rsidRPr="001138F1" w:rsidRDefault="00503E65" w:rsidP="00B80797">
      <w:pPr>
        <w:jc w:val="center"/>
        <w:rPr>
          <w:b/>
          <w:bCs/>
          <w:sz w:val="24"/>
          <w:szCs w:val="24"/>
        </w:rPr>
      </w:pPr>
      <w:r w:rsidRPr="00A94F08">
        <w:br w:type="page"/>
      </w:r>
      <w:r w:rsidRPr="001138F1">
        <w:rPr>
          <w:b/>
          <w:bCs/>
          <w:sz w:val="24"/>
          <w:szCs w:val="24"/>
        </w:rPr>
        <w:lastRenderedPageBreak/>
        <w:t>Spis treści</w:t>
      </w:r>
    </w:p>
    <w:bookmarkEnd w:id="0"/>
    <w:p w14:paraId="612ABCF7" w14:textId="6C0C5C47" w:rsidR="006C2063" w:rsidRDefault="00B8079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6A22E8">
        <w:fldChar w:fldCharType="begin"/>
      </w:r>
      <w:r w:rsidRPr="006A22E8">
        <w:instrText xml:space="preserve"> TOC \t "nagłówek 1 ANES;1;nagłówek 2 ANES;2" </w:instrText>
      </w:r>
      <w:r w:rsidRPr="006A22E8">
        <w:fldChar w:fldCharType="separate"/>
      </w:r>
      <w:r w:rsidR="006C2063">
        <w:rPr>
          <w:noProof/>
        </w:rPr>
        <w:t>1</w:t>
      </w:r>
      <w:r w:rsidR="006C2063"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 w:rsidR="006C2063">
        <w:rPr>
          <w:noProof/>
        </w:rPr>
        <w:t>DANE OGÓLNE</w:t>
      </w:r>
      <w:r w:rsidR="006C2063">
        <w:rPr>
          <w:noProof/>
        </w:rPr>
        <w:tab/>
      </w:r>
      <w:r w:rsidR="006C2063">
        <w:rPr>
          <w:noProof/>
        </w:rPr>
        <w:fldChar w:fldCharType="begin"/>
      </w:r>
      <w:r w:rsidR="006C2063">
        <w:rPr>
          <w:noProof/>
        </w:rPr>
        <w:instrText xml:space="preserve"> PAGEREF _Toc148092079 \h </w:instrText>
      </w:r>
      <w:r w:rsidR="006C2063">
        <w:rPr>
          <w:noProof/>
        </w:rPr>
      </w:r>
      <w:r w:rsidR="006C2063">
        <w:rPr>
          <w:noProof/>
        </w:rPr>
        <w:fldChar w:fldCharType="separate"/>
      </w:r>
      <w:r w:rsidR="006C2063">
        <w:rPr>
          <w:noProof/>
        </w:rPr>
        <w:t>3</w:t>
      </w:r>
      <w:r w:rsidR="006C2063">
        <w:rPr>
          <w:noProof/>
        </w:rPr>
        <w:fldChar w:fldCharType="end"/>
      </w:r>
    </w:p>
    <w:p w14:paraId="3FA02EAA" w14:textId="294832A0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1.1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Inwestor</w:t>
      </w:r>
      <w:r>
        <w:tab/>
      </w:r>
      <w:r>
        <w:fldChar w:fldCharType="begin"/>
      </w:r>
      <w:r>
        <w:instrText xml:space="preserve"> PAGEREF _Toc148092080 \h </w:instrText>
      </w:r>
      <w:r>
        <w:fldChar w:fldCharType="separate"/>
      </w:r>
      <w:r>
        <w:t>3</w:t>
      </w:r>
      <w:r>
        <w:fldChar w:fldCharType="end"/>
      </w:r>
    </w:p>
    <w:p w14:paraId="7F2B0EEA" w14:textId="790ADCC6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1.2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Przedmiot opracowania</w:t>
      </w:r>
      <w:r>
        <w:tab/>
      </w:r>
      <w:r>
        <w:fldChar w:fldCharType="begin"/>
      </w:r>
      <w:r>
        <w:instrText xml:space="preserve"> PAGEREF _Toc148092081 \h </w:instrText>
      </w:r>
      <w:r>
        <w:fldChar w:fldCharType="separate"/>
      </w:r>
      <w:r>
        <w:t>3</w:t>
      </w:r>
      <w:r>
        <w:fldChar w:fldCharType="end"/>
      </w:r>
    </w:p>
    <w:p w14:paraId="31E81B13" w14:textId="54C50C1E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1.3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Zakres opracowania</w:t>
      </w:r>
      <w:r>
        <w:tab/>
      </w:r>
      <w:r>
        <w:fldChar w:fldCharType="begin"/>
      </w:r>
      <w:r>
        <w:instrText xml:space="preserve"> PAGEREF _Toc148092082 \h </w:instrText>
      </w:r>
      <w:r>
        <w:fldChar w:fldCharType="separate"/>
      </w:r>
      <w:r>
        <w:t>3</w:t>
      </w:r>
      <w:r>
        <w:fldChar w:fldCharType="end"/>
      </w:r>
    </w:p>
    <w:p w14:paraId="30636951" w14:textId="4DE7AA76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1.4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Dane do projektowania</w:t>
      </w:r>
      <w:r>
        <w:tab/>
      </w:r>
      <w:r>
        <w:fldChar w:fldCharType="begin"/>
      </w:r>
      <w:r>
        <w:instrText xml:space="preserve"> PAGEREF _Toc148092083 \h </w:instrText>
      </w:r>
      <w:r>
        <w:fldChar w:fldCharType="separate"/>
      </w:r>
      <w:r>
        <w:t>3</w:t>
      </w:r>
      <w:r>
        <w:fldChar w:fldCharType="end"/>
      </w:r>
    </w:p>
    <w:p w14:paraId="70CC11DA" w14:textId="20E61A17" w:rsidR="006C2063" w:rsidRDefault="006C2063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OPIS TECHNICZNY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_Toc148092084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FD5D8B2" w14:textId="783090E8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2.1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Roboty przygotowawcze</w:t>
      </w:r>
      <w:r>
        <w:tab/>
      </w:r>
      <w:r>
        <w:fldChar w:fldCharType="begin"/>
      </w:r>
      <w:r>
        <w:instrText xml:space="preserve"> PAGEREF _Toc148092085 \h </w:instrText>
      </w:r>
      <w:r>
        <w:fldChar w:fldCharType="separate"/>
      </w:r>
      <w:r>
        <w:t>3</w:t>
      </w:r>
      <w:r>
        <w:fldChar w:fldCharType="end"/>
      </w:r>
    </w:p>
    <w:p w14:paraId="29E71249" w14:textId="5CDDB11C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2.2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Tymczasowe punkty stałe</w:t>
      </w:r>
      <w:r>
        <w:tab/>
      </w:r>
      <w:r>
        <w:fldChar w:fldCharType="begin"/>
      </w:r>
      <w:r>
        <w:instrText xml:space="preserve"> PAGEREF _Toc148092086 \h </w:instrText>
      </w:r>
      <w:r>
        <w:fldChar w:fldCharType="separate"/>
      </w:r>
      <w:r>
        <w:t>3</w:t>
      </w:r>
      <w:r>
        <w:fldChar w:fldCharType="end"/>
      </w:r>
    </w:p>
    <w:p w14:paraId="20B54A65" w14:textId="68E100BA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2.3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Zabezpieczenia antykorozyjne elementów stalowych</w:t>
      </w:r>
      <w:r>
        <w:tab/>
      </w:r>
      <w:r>
        <w:fldChar w:fldCharType="begin"/>
      </w:r>
      <w:r>
        <w:instrText xml:space="preserve"> PAGEREF _Toc148092087 \h </w:instrText>
      </w:r>
      <w:r>
        <w:fldChar w:fldCharType="separate"/>
      </w:r>
      <w:r>
        <w:t>4</w:t>
      </w:r>
      <w:r>
        <w:fldChar w:fldCharType="end"/>
      </w:r>
    </w:p>
    <w:p w14:paraId="65F3D04B" w14:textId="1F0AEFB5" w:rsidR="006C2063" w:rsidRDefault="006C2063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Warunki wykonawstwa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_Toc148092088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58AB1A6" w14:textId="5E4008EB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3.1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Warunki ogólne</w:t>
      </w:r>
      <w:r>
        <w:tab/>
      </w:r>
      <w:r>
        <w:fldChar w:fldCharType="begin"/>
      </w:r>
      <w:r>
        <w:instrText xml:space="preserve"> PAGEREF _Toc148092089 \h </w:instrText>
      </w:r>
      <w:r>
        <w:fldChar w:fldCharType="separate"/>
      </w:r>
      <w:r>
        <w:t>6</w:t>
      </w:r>
      <w:r>
        <w:fldChar w:fldCharType="end"/>
      </w:r>
    </w:p>
    <w:p w14:paraId="44CE166E" w14:textId="7DE81319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3.2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Warunki BHP i p-poż.</w:t>
      </w:r>
      <w:r>
        <w:tab/>
      </w:r>
      <w:r>
        <w:fldChar w:fldCharType="begin"/>
      </w:r>
      <w:r>
        <w:instrText xml:space="preserve"> PAGEREF _Toc148092090 \h </w:instrText>
      </w:r>
      <w:r>
        <w:fldChar w:fldCharType="separate"/>
      </w:r>
      <w:r>
        <w:t>6</w:t>
      </w:r>
      <w:r>
        <w:fldChar w:fldCharType="end"/>
      </w:r>
    </w:p>
    <w:p w14:paraId="313F4DBB" w14:textId="1CFB77AA" w:rsidR="006C2063" w:rsidRDefault="006C2063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INFORMACJA DOTYCZĄCA BEZPIECZEŃSTWA I OCHRONY ZDROWIA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_Toc148092091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95DB9E" w14:textId="473234A4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4.1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Zakres robót</w:t>
      </w:r>
      <w:r>
        <w:tab/>
      </w:r>
      <w:r>
        <w:fldChar w:fldCharType="begin"/>
      </w:r>
      <w:r>
        <w:instrText xml:space="preserve"> PAGEREF _Toc148092092 \h </w:instrText>
      </w:r>
      <w:r>
        <w:fldChar w:fldCharType="separate"/>
      </w:r>
      <w:r>
        <w:t>6</w:t>
      </w:r>
      <w:r>
        <w:fldChar w:fldCharType="end"/>
      </w:r>
    </w:p>
    <w:p w14:paraId="641730AF" w14:textId="498CF330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4.2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Wykaz istniejących obiektów</w:t>
      </w:r>
      <w:r>
        <w:tab/>
      </w:r>
      <w:r>
        <w:fldChar w:fldCharType="begin"/>
      </w:r>
      <w:r>
        <w:instrText xml:space="preserve"> PAGEREF _Toc148092093 \h </w:instrText>
      </w:r>
      <w:r>
        <w:fldChar w:fldCharType="separate"/>
      </w:r>
      <w:r>
        <w:t>6</w:t>
      </w:r>
      <w:r>
        <w:fldChar w:fldCharType="end"/>
      </w:r>
    </w:p>
    <w:p w14:paraId="68B3A62E" w14:textId="78A3DF92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4.3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Elementy zagospodarowania działki mogące stwarzać zagrożenie bezpieczeństwa i zdrowia ludzi</w:t>
      </w:r>
      <w:r>
        <w:tab/>
      </w:r>
      <w:r>
        <w:fldChar w:fldCharType="begin"/>
      </w:r>
      <w:r>
        <w:instrText xml:space="preserve"> PAGEREF _Toc148092094 \h </w:instrText>
      </w:r>
      <w:r>
        <w:fldChar w:fldCharType="separate"/>
      </w:r>
      <w:r>
        <w:t>6</w:t>
      </w:r>
      <w:r>
        <w:fldChar w:fldCharType="end"/>
      </w:r>
    </w:p>
    <w:p w14:paraId="4EFB0F2C" w14:textId="4272D025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4.4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Przewidywane zagrożenia podczas realizacji robót</w:t>
      </w:r>
      <w:r>
        <w:tab/>
      </w:r>
      <w:r>
        <w:fldChar w:fldCharType="begin"/>
      </w:r>
      <w:r>
        <w:instrText xml:space="preserve"> PAGEREF _Toc148092095 \h </w:instrText>
      </w:r>
      <w:r>
        <w:fldChar w:fldCharType="separate"/>
      </w:r>
      <w:r>
        <w:t>7</w:t>
      </w:r>
      <w:r>
        <w:fldChar w:fldCharType="end"/>
      </w:r>
    </w:p>
    <w:p w14:paraId="1081EA5F" w14:textId="3B0178F7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4.5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Instruktaż pracowników</w:t>
      </w:r>
      <w:r>
        <w:tab/>
      </w:r>
      <w:r>
        <w:fldChar w:fldCharType="begin"/>
      </w:r>
      <w:r>
        <w:instrText xml:space="preserve"> PAGEREF _Toc148092096 \h </w:instrText>
      </w:r>
      <w:r>
        <w:fldChar w:fldCharType="separate"/>
      </w:r>
      <w:r>
        <w:t>7</w:t>
      </w:r>
      <w:r>
        <w:fldChar w:fldCharType="end"/>
      </w:r>
    </w:p>
    <w:p w14:paraId="6308FAC1" w14:textId="6CF33A46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4.6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Środki techniczne i organizacyjne zapobiegające niebezpieczeństwom</w:t>
      </w:r>
      <w:r>
        <w:tab/>
      </w:r>
      <w:r>
        <w:fldChar w:fldCharType="begin"/>
      </w:r>
      <w:r>
        <w:instrText xml:space="preserve"> PAGEREF _Toc148092097 \h </w:instrText>
      </w:r>
      <w:r>
        <w:fldChar w:fldCharType="separate"/>
      </w:r>
      <w:r>
        <w:t>7</w:t>
      </w:r>
      <w:r>
        <w:fldChar w:fldCharType="end"/>
      </w:r>
    </w:p>
    <w:p w14:paraId="6A889973" w14:textId="3FE5CAB5" w:rsidR="006C2063" w:rsidRDefault="006C2063">
      <w:pPr>
        <w:pStyle w:val="Spistreci2"/>
        <w:rPr>
          <w:rFonts w:eastAsiaTheme="minorEastAsia" w:cstheme="minorBidi"/>
          <w:smallCaps w:val="0"/>
          <w:sz w:val="22"/>
          <w:szCs w:val="22"/>
        </w:rPr>
      </w:pPr>
      <w:r>
        <w:t>4.7</w:t>
      </w:r>
      <w:r>
        <w:rPr>
          <w:rFonts w:eastAsiaTheme="minorEastAsia" w:cstheme="minorBidi"/>
          <w:smallCaps w:val="0"/>
          <w:sz w:val="22"/>
          <w:szCs w:val="22"/>
        </w:rPr>
        <w:tab/>
      </w:r>
      <w:r>
        <w:t>Przepisy związane</w:t>
      </w:r>
      <w:r>
        <w:tab/>
      </w:r>
      <w:r>
        <w:fldChar w:fldCharType="begin"/>
      </w:r>
      <w:r>
        <w:instrText xml:space="preserve"> PAGEREF _Toc148092098 \h </w:instrText>
      </w:r>
      <w:r>
        <w:fldChar w:fldCharType="separate"/>
      </w:r>
      <w:r>
        <w:t>8</w:t>
      </w:r>
      <w:r>
        <w:fldChar w:fldCharType="end"/>
      </w:r>
    </w:p>
    <w:p w14:paraId="3DAC6085" w14:textId="1573BABB" w:rsidR="00AB1185" w:rsidRDefault="00B80797" w:rsidP="00503E65">
      <w:pPr>
        <w:rPr>
          <w:rFonts w:asciiTheme="minorHAnsi" w:hAnsiTheme="minorHAnsi"/>
          <w:b/>
          <w:bCs/>
          <w:caps/>
          <w:sz w:val="20"/>
        </w:rPr>
      </w:pPr>
      <w:r w:rsidRPr="006A22E8">
        <w:rPr>
          <w:rFonts w:asciiTheme="minorHAnsi" w:hAnsiTheme="minorHAnsi"/>
          <w:b/>
          <w:bCs/>
          <w:caps/>
          <w:sz w:val="20"/>
        </w:rPr>
        <w:fldChar w:fldCharType="end"/>
      </w:r>
    </w:p>
    <w:p w14:paraId="766E23E0" w14:textId="77777777" w:rsidR="00AB1185" w:rsidRDefault="00AB1185">
      <w:pPr>
        <w:spacing w:line="240" w:lineRule="auto"/>
        <w:rPr>
          <w:rFonts w:asciiTheme="minorHAnsi" w:hAnsiTheme="minorHAnsi"/>
          <w:b/>
          <w:bCs/>
          <w:caps/>
          <w:sz w:val="20"/>
        </w:rPr>
      </w:pPr>
      <w:r>
        <w:rPr>
          <w:rFonts w:asciiTheme="minorHAnsi" w:hAnsiTheme="minorHAnsi"/>
          <w:b/>
          <w:bCs/>
          <w:caps/>
          <w:sz w:val="20"/>
        </w:rPr>
        <w:br w:type="page"/>
      </w:r>
      <w:bookmarkStart w:id="1" w:name="_GoBack"/>
      <w:bookmarkEnd w:id="1"/>
    </w:p>
    <w:p w14:paraId="3C58B5D2" w14:textId="77777777" w:rsidR="007A6327" w:rsidRDefault="007A6327" w:rsidP="00503E65"/>
    <w:p w14:paraId="18FFAF80" w14:textId="77777777" w:rsidR="007D3000" w:rsidRPr="006A22E8" w:rsidRDefault="007D3000" w:rsidP="00A94F08">
      <w:pPr>
        <w:pStyle w:val="nagwek1ANES"/>
        <w:jc w:val="both"/>
      </w:pPr>
      <w:bookmarkStart w:id="2" w:name="_Toc346879507"/>
      <w:bookmarkStart w:id="3" w:name="_Toc446324589"/>
      <w:bookmarkStart w:id="4" w:name="_Toc148092079"/>
      <w:r w:rsidRPr="006A22E8">
        <w:t>DANE OGÓLNE</w:t>
      </w:r>
      <w:bookmarkEnd w:id="2"/>
      <w:bookmarkEnd w:id="3"/>
      <w:bookmarkEnd w:id="4"/>
    </w:p>
    <w:p w14:paraId="23FC8B88" w14:textId="77777777" w:rsidR="007D3000" w:rsidRPr="006A22E8" w:rsidRDefault="007D3000" w:rsidP="00A94F08">
      <w:pPr>
        <w:pStyle w:val="nagwek2ANES"/>
        <w:jc w:val="both"/>
      </w:pPr>
      <w:bookmarkStart w:id="5" w:name="_Toc346879508"/>
      <w:bookmarkStart w:id="6" w:name="_Toc446324590"/>
      <w:bookmarkStart w:id="7" w:name="_Toc148092080"/>
      <w:r w:rsidRPr="006A22E8">
        <w:t>Inwestor</w:t>
      </w:r>
      <w:bookmarkEnd w:id="5"/>
      <w:bookmarkEnd w:id="6"/>
      <w:bookmarkEnd w:id="7"/>
    </w:p>
    <w:p w14:paraId="2A81A591" w14:textId="3F41BDBA" w:rsidR="007D3000" w:rsidRPr="006A22E8" w:rsidRDefault="007D3000" w:rsidP="00A94F08">
      <w:pPr>
        <w:jc w:val="both"/>
      </w:pPr>
      <w:proofErr w:type="spellStart"/>
      <w:r w:rsidRPr="006A22E8">
        <w:t>Veolia</w:t>
      </w:r>
      <w:proofErr w:type="spellEnd"/>
      <w:r w:rsidRPr="006A22E8">
        <w:t xml:space="preserve"> </w:t>
      </w:r>
      <w:r w:rsidR="0019424A">
        <w:t xml:space="preserve">Energia </w:t>
      </w:r>
      <w:r w:rsidRPr="006A22E8">
        <w:t>Łódź S.A..</w:t>
      </w:r>
    </w:p>
    <w:p w14:paraId="4AB97841" w14:textId="77777777" w:rsidR="007D3000" w:rsidRPr="006A22E8" w:rsidRDefault="007D3000" w:rsidP="00A94F08">
      <w:pPr>
        <w:pStyle w:val="nagwek2ANES"/>
        <w:jc w:val="both"/>
      </w:pPr>
      <w:bookmarkStart w:id="8" w:name="_Toc346879509"/>
      <w:bookmarkStart w:id="9" w:name="_Toc446324591"/>
      <w:bookmarkStart w:id="10" w:name="_Toc148092081"/>
      <w:r w:rsidRPr="006A22E8">
        <w:t>Przedmiot opracowania</w:t>
      </w:r>
      <w:bookmarkEnd w:id="8"/>
      <w:bookmarkEnd w:id="9"/>
      <w:bookmarkEnd w:id="10"/>
    </w:p>
    <w:p w14:paraId="48472184" w14:textId="51B0AB56" w:rsidR="007D3000" w:rsidRPr="006A22E8" w:rsidRDefault="007D3000" w:rsidP="00A94F08">
      <w:pPr>
        <w:jc w:val="both"/>
      </w:pPr>
      <w:r w:rsidRPr="006A22E8">
        <w:t xml:space="preserve">Przedmiotem opracowania </w:t>
      </w:r>
      <w:r w:rsidR="001F2355">
        <w:t xml:space="preserve">są podpory tymczasowe na czas </w:t>
      </w:r>
      <w:r w:rsidRPr="006A22E8">
        <w:t>remont</w:t>
      </w:r>
      <w:r w:rsidR="001F2355">
        <w:t>u</w:t>
      </w:r>
      <w:r w:rsidRPr="006A22E8">
        <w:t xml:space="preserve"> komory K</w:t>
      </w:r>
      <w:r w:rsidR="00A94F08">
        <w:t>-</w:t>
      </w:r>
      <w:r w:rsidR="001F2355">
        <w:t>705</w:t>
      </w:r>
      <w:r w:rsidR="00A0782B">
        <w:t xml:space="preserve"> przy ul</w:t>
      </w:r>
      <w:r w:rsidR="00E63823">
        <w:t xml:space="preserve">. </w:t>
      </w:r>
      <w:r w:rsidR="006C2063">
        <w:t xml:space="preserve">Batalionów Chłopskich na os. </w:t>
      </w:r>
      <w:proofErr w:type="spellStart"/>
      <w:r w:rsidR="006C2063">
        <w:t>Retkinia</w:t>
      </w:r>
      <w:proofErr w:type="spellEnd"/>
      <w:r w:rsidR="006C2063">
        <w:t xml:space="preserve"> - Sympatyczna</w:t>
      </w:r>
      <w:r w:rsidR="00E63823">
        <w:t xml:space="preserve"> </w:t>
      </w:r>
      <w:r w:rsidR="00C654E1">
        <w:t>w Łodzi</w:t>
      </w:r>
      <w:r w:rsidRPr="006A22E8">
        <w:t>.</w:t>
      </w:r>
    </w:p>
    <w:p w14:paraId="6BDD9EDD" w14:textId="77777777" w:rsidR="007D3000" w:rsidRPr="006A22E8" w:rsidRDefault="007D3000" w:rsidP="00A94F08">
      <w:pPr>
        <w:pStyle w:val="nagwek2ANES"/>
        <w:jc w:val="both"/>
      </w:pPr>
      <w:bookmarkStart w:id="11" w:name="_Toc346879510"/>
      <w:bookmarkStart w:id="12" w:name="_Toc446324592"/>
      <w:bookmarkStart w:id="13" w:name="_Toc148092082"/>
      <w:r w:rsidRPr="006A22E8">
        <w:t>Zakres opracowania</w:t>
      </w:r>
      <w:bookmarkEnd w:id="11"/>
      <w:bookmarkEnd w:id="12"/>
      <w:bookmarkEnd w:id="13"/>
    </w:p>
    <w:p w14:paraId="3024834A" w14:textId="01A9F004" w:rsidR="007D3000" w:rsidRPr="006A22E8" w:rsidRDefault="007D3000" w:rsidP="00A94F08">
      <w:pPr>
        <w:jc w:val="both"/>
      </w:pPr>
      <w:r w:rsidRPr="006A22E8">
        <w:t xml:space="preserve">Opracowanie obejmuje swym zakresem projekt </w:t>
      </w:r>
      <w:r w:rsidR="001F2355">
        <w:t>techniczny podpór</w:t>
      </w:r>
      <w:r w:rsidRPr="006A22E8">
        <w:t>:</w:t>
      </w:r>
    </w:p>
    <w:p w14:paraId="03CD833B" w14:textId="16A6FA51" w:rsidR="007D3000" w:rsidRDefault="006509EC" w:rsidP="00190E97">
      <w:pPr>
        <w:pStyle w:val="punktowanieANES"/>
      </w:pPr>
      <w:r>
        <w:t>O</w:t>
      </w:r>
      <w:r w:rsidR="007D3000" w:rsidRPr="006A22E8">
        <w:t>pis techniczny z wytycznymi robót budowlanych,</w:t>
      </w:r>
    </w:p>
    <w:p w14:paraId="0BE468FB" w14:textId="1D3719E1" w:rsidR="001F2355" w:rsidRPr="006A22E8" w:rsidRDefault="001F2355" w:rsidP="00190E97">
      <w:pPr>
        <w:pStyle w:val="punktowanieANES"/>
      </w:pPr>
      <w:r>
        <w:t>Specyfikacja materiałowa</w:t>
      </w:r>
    </w:p>
    <w:p w14:paraId="7E301DA3" w14:textId="3BE9F1F5" w:rsidR="007D3000" w:rsidRPr="006A22E8" w:rsidRDefault="006509EC" w:rsidP="00190E97">
      <w:pPr>
        <w:pStyle w:val="punktowanieANES"/>
      </w:pPr>
      <w:r>
        <w:t>C</w:t>
      </w:r>
      <w:r w:rsidR="007D3000" w:rsidRPr="006A22E8">
        <w:t>zęść rysunkowa wykonawcza.</w:t>
      </w:r>
    </w:p>
    <w:p w14:paraId="16EDE0B1" w14:textId="1FDE0629" w:rsidR="007D3000" w:rsidRPr="006A22E8" w:rsidRDefault="007D3000" w:rsidP="00A94F08">
      <w:pPr>
        <w:pStyle w:val="nagwek2ANES"/>
        <w:jc w:val="both"/>
      </w:pPr>
      <w:bookmarkStart w:id="14" w:name="_Toc346879511"/>
      <w:bookmarkStart w:id="15" w:name="_Toc446324593"/>
      <w:bookmarkStart w:id="16" w:name="_Toc148092083"/>
      <w:r w:rsidRPr="006A22E8">
        <w:t>Dane do projektowania</w:t>
      </w:r>
      <w:bookmarkEnd w:id="14"/>
      <w:bookmarkEnd w:id="15"/>
      <w:bookmarkEnd w:id="16"/>
    </w:p>
    <w:p w14:paraId="3ED19E1F" w14:textId="2CE79B89" w:rsidR="007D3000" w:rsidRPr="006A22E8" w:rsidRDefault="006509EC" w:rsidP="00190E97">
      <w:pPr>
        <w:pStyle w:val="punktowanieANES"/>
      </w:pPr>
      <w:r>
        <w:t>W</w:t>
      </w:r>
      <w:r w:rsidR="007D3000" w:rsidRPr="006A22E8">
        <w:t>ytyczne inwestora,</w:t>
      </w:r>
    </w:p>
    <w:p w14:paraId="0AABF178" w14:textId="4B296DED" w:rsidR="007D3000" w:rsidRPr="006A22E8" w:rsidRDefault="006509EC" w:rsidP="00190E97">
      <w:pPr>
        <w:pStyle w:val="punktowanieANES"/>
      </w:pPr>
      <w:r>
        <w:t>L</w:t>
      </w:r>
      <w:r w:rsidR="007D3000" w:rsidRPr="006A22E8">
        <w:t>iteratura techniczna i polskie normy.</w:t>
      </w:r>
    </w:p>
    <w:p w14:paraId="57C89DFE" w14:textId="601900B3" w:rsidR="007D3000" w:rsidRPr="006A22E8" w:rsidRDefault="007D3000" w:rsidP="00A94F08">
      <w:pPr>
        <w:pStyle w:val="nagwek1ANES"/>
        <w:jc w:val="both"/>
      </w:pPr>
      <w:bookmarkStart w:id="17" w:name="_Toc446324600"/>
      <w:bookmarkStart w:id="18" w:name="_Toc283880246"/>
      <w:bookmarkStart w:id="19" w:name="_Toc346879515"/>
      <w:bookmarkStart w:id="20" w:name="_Toc148092084"/>
      <w:r w:rsidRPr="006A22E8">
        <w:t xml:space="preserve">OPIS TECHNICZNY </w:t>
      </w:r>
      <w:bookmarkEnd w:id="17"/>
      <w:r w:rsidR="001F2355">
        <w:t>ROBÓT</w:t>
      </w:r>
      <w:bookmarkEnd w:id="20"/>
      <w:r w:rsidRPr="006A22E8">
        <w:t xml:space="preserve"> </w:t>
      </w:r>
      <w:bookmarkEnd w:id="18"/>
      <w:bookmarkEnd w:id="19"/>
    </w:p>
    <w:p w14:paraId="03860264" w14:textId="5B913AA8" w:rsidR="00F46AC5" w:rsidRDefault="00F46AC5" w:rsidP="00A94F08">
      <w:pPr>
        <w:pStyle w:val="nagwek2ANES"/>
        <w:jc w:val="both"/>
      </w:pPr>
      <w:bookmarkStart w:id="21" w:name="_Toc350425661"/>
      <w:bookmarkStart w:id="22" w:name="_Toc446324606"/>
      <w:bookmarkStart w:id="23" w:name="_Toc346879518"/>
      <w:bookmarkStart w:id="24" w:name="_Toc148092085"/>
      <w:r>
        <w:t>Roboty przygotowawcze</w:t>
      </w:r>
      <w:bookmarkEnd w:id="24"/>
    </w:p>
    <w:p w14:paraId="5F478355" w14:textId="77777777" w:rsidR="001F2355" w:rsidRDefault="001F2355" w:rsidP="00190E97">
      <w:pPr>
        <w:pStyle w:val="punktowanieANES"/>
      </w:pPr>
      <w:r>
        <w:t>Usunąć izolację z rurociągów</w:t>
      </w:r>
    </w:p>
    <w:p w14:paraId="3866E3F8" w14:textId="77777777" w:rsidR="001F2355" w:rsidRDefault="001F2355" w:rsidP="00190E97">
      <w:pPr>
        <w:pStyle w:val="punktowanieANES"/>
      </w:pPr>
      <w:r>
        <w:t>Oczyścić miejsca oparcia podpór tymczasowych</w:t>
      </w:r>
    </w:p>
    <w:p w14:paraId="47FB3840" w14:textId="77777777" w:rsidR="006F2AF6" w:rsidRDefault="001F2355" w:rsidP="00190E97">
      <w:pPr>
        <w:pStyle w:val="punktowanieANES"/>
      </w:pPr>
      <w:r>
        <w:t>Wykonać</w:t>
      </w:r>
      <w:r w:rsidR="006F2AF6">
        <w:t xml:space="preserve"> pozostałe wskazania wg projektu branży instalacyjnej</w:t>
      </w:r>
    </w:p>
    <w:p w14:paraId="5B6CDC84" w14:textId="77777777" w:rsidR="00E65E00" w:rsidRDefault="00E65E00" w:rsidP="00A94F08">
      <w:pPr>
        <w:pStyle w:val="nagwek2ANES"/>
        <w:jc w:val="both"/>
      </w:pPr>
      <w:bookmarkStart w:id="25" w:name="_Toc55907143"/>
      <w:bookmarkStart w:id="26" w:name="_Toc148092086"/>
      <w:bookmarkEnd w:id="21"/>
      <w:bookmarkEnd w:id="22"/>
      <w:r>
        <w:t>Tymczasowe punkty stałe</w:t>
      </w:r>
      <w:bookmarkEnd w:id="25"/>
      <w:bookmarkEnd w:id="26"/>
    </w:p>
    <w:p w14:paraId="7A549CA0" w14:textId="77777777" w:rsidR="00E65E00" w:rsidRDefault="00E65E00" w:rsidP="00A94F08">
      <w:pPr>
        <w:pStyle w:val="nagwek3ANES"/>
        <w:jc w:val="both"/>
      </w:pPr>
      <w:r>
        <w:t>Tymczasowy punkt stały T1</w:t>
      </w:r>
    </w:p>
    <w:p w14:paraId="1B099CD0" w14:textId="6BCA9E1B" w:rsidR="00E65E00" w:rsidRDefault="00E65E00" w:rsidP="00A94F08">
      <w:pPr>
        <w:jc w:val="both"/>
      </w:pPr>
      <w:r>
        <w:t xml:space="preserve">Tymczasowy punkt stały T1 podpierający na czas remontu rurociągi </w:t>
      </w:r>
      <w:r w:rsidRPr="006A22E8">
        <w:sym w:font="Symbol" w:char="F0C6"/>
      </w:r>
      <w:r w:rsidR="006F2AF6">
        <w:t>2</w:t>
      </w:r>
      <w:r w:rsidR="009C0941">
        <w:t>5</w:t>
      </w:r>
      <w:r>
        <w:t>0 s</w:t>
      </w:r>
      <w:r w:rsidR="00F56A68">
        <w:t>tanowią</w:t>
      </w:r>
      <w:r>
        <w:t xml:space="preserve"> 4 kozł</w:t>
      </w:r>
      <w:r w:rsidR="00F56A68">
        <w:t xml:space="preserve">y </w:t>
      </w:r>
      <w:r>
        <w:t>składając</w:t>
      </w:r>
      <w:r w:rsidR="00F56A68">
        <w:t>e</w:t>
      </w:r>
      <w:r>
        <w:t xml:space="preserve"> się ze słupka i zastrzału z C120. Kozły mocowane do podłogi </w:t>
      </w:r>
      <w:r w:rsidR="006F2AF6">
        <w:t xml:space="preserve">3 </w:t>
      </w:r>
      <w:r>
        <w:t>kotwami mechanicznymi HST-3 M1</w:t>
      </w:r>
      <w:r w:rsidR="006F2AF6">
        <w:t>0</w:t>
      </w:r>
      <w:r w:rsidR="00F56A68">
        <w:t xml:space="preserve">. </w:t>
      </w:r>
      <w:r w:rsidR="006F2AF6">
        <w:t xml:space="preserve">Słupki kozłów oparte dołem na podwalinie z C120 mocowanej do posadzki 4 kotwami HST-3 M10. </w:t>
      </w:r>
      <w:r w:rsidR="00F56A68">
        <w:t xml:space="preserve">Górą kozły spięte </w:t>
      </w:r>
      <w:r w:rsidR="006F2AF6">
        <w:t xml:space="preserve">2 </w:t>
      </w:r>
      <w:r w:rsidR="00F56A68">
        <w:t>belk</w:t>
      </w:r>
      <w:r w:rsidR="006F2AF6">
        <w:t>ami</w:t>
      </w:r>
      <w:r w:rsidR="00D42692">
        <w:t xml:space="preserve">, które za pomocą czterech blach węzłowych utrzymują rury </w:t>
      </w:r>
      <w:r w:rsidR="00D42692" w:rsidRPr="006A22E8">
        <w:sym w:font="Symbol" w:char="F0C6"/>
      </w:r>
      <w:r w:rsidR="00D42692">
        <w:t xml:space="preserve">250. Końce słupków przyspawane do belki </w:t>
      </w:r>
      <w:proofErr w:type="spellStart"/>
      <w:r w:rsidR="00D42692">
        <w:t>oczepowej</w:t>
      </w:r>
      <w:proofErr w:type="spellEnd"/>
      <w:r w:rsidR="00D42692">
        <w:t xml:space="preserve"> opierającej </w:t>
      </w:r>
      <w:r w:rsidR="00D42692">
        <w:lastRenderedPageBreak/>
        <w:t>się o konstrukcje ściany komory za pomocą 4 kotew</w:t>
      </w:r>
      <w:r w:rsidR="00D42692" w:rsidRPr="00D42692">
        <w:t xml:space="preserve"> </w:t>
      </w:r>
      <w:r w:rsidR="00D42692">
        <w:t xml:space="preserve">HST-3 M10. </w:t>
      </w:r>
      <w:r w:rsidR="00F56A68">
        <w:t xml:space="preserve">Po </w:t>
      </w:r>
      <w:r w:rsidR="00D42692">
        <w:t>wykonaniu wszystkich prac montażowych i przyspawaniu blach węzłowych rurociągi</w:t>
      </w:r>
      <w:r w:rsidR="00F56A68">
        <w:t xml:space="preserve"> odciąć w płaszczyźnie </w:t>
      </w:r>
      <w:r w:rsidR="006F2AF6">
        <w:t>wskazanej w projekcie instalacyjnym.</w:t>
      </w:r>
      <w:r w:rsidR="00F56A68">
        <w:t xml:space="preserve"> </w:t>
      </w:r>
    </w:p>
    <w:p w14:paraId="4BAF517D" w14:textId="5CB25678" w:rsidR="00E65E00" w:rsidRDefault="00E65E00" w:rsidP="00A94F08">
      <w:pPr>
        <w:pStyle w:val="nagwek3ANES"/>
        <w:jc w:val="both"/>
      </w:pPr>
      <w:r>
        <w:t>Tymczasowy punkt stały T</w:t>
      </w:r>
      <w:r w:rsidR="00A25191">
        <w:t>2</w:t>
      </w:r>
      <w:r>
        <w:t xml:space="preserve"> </w:t>
      </w:r>
    </w:p>
    <w:p w14:paraId="3131E3CF" w14:textId="0BEA57CE" w:rsidR="00870159" w:rsidRDefault="00870159" w:rsidP="00A94F08">
      <w:pPr>
        <w:jc w:val="both"/>
      </w:pPr>
      <w:r>
        <w:t>Tymczasowy punkt stały T</w:t>
      </w:r>
      <w:r w:rsidR="00A25191">
        <w:t>3</w:t>
      </w:r>
      <w:r>
        <w:t xml:space="preserve"> podpierający na czas remontu rurociągi </w:t>
      </w:r>
      <w:r w:rsidRPr="006A22E8">
        <w:sym w:font="Symbol" w:char="F0C6"/>
      </w:r>
      <w:r w:rsidR="006F2AF6">
        <w:t>15</w:t>
      </w:r>
      <w:r>
        <w:t xml:space="preserve">0 stanowią 2 kozły składające się ze słupka i zastrzału z C120. Kozły mocowane do podłogi </w:t>
      </w:r>
      <w:r w:rsidR="006F2AF6">
        <w:t xml:space="preserve">3 </w:t>
      </w:r>
      <w:r>
        <w:t>kotwami mechanicznymi HST-3 M1</w:t>
      </w:r>
      <w:r w:rsidR="006F2AF6">
        <w:t>0</w:t>
      </w:r>
      <w:r>
        <w:t xml:space="preserve">. </w:t>
      </w:r>
      <w:r w:rsidR="006F2AF6">
        <w:t xml:space="preserve">Słupki kozłów oparte dołem na podwalinie z C120 mocowanej do posadzki 2 kotwami HST-3 M10. </w:t>
      </w:r>
      <w:r w:rsidR="00D42692">
        <w:t xml:space="preserve">Górą kozły spięte 2 belkami C120, które za pomocą czterech blach węzłowych utrzymują rury </w:t>
      </w:r>
      <w:r w:rsidR="00D42692" w:rsidRPr="006A22E8">
        <w:sym w:font="Symbol" w:char="F0C6"/>
      </w:r>
      <w:r w:rsidR="00D42692">
        <w:t>150</w:t>
      </w:r>
      <w:r>
        <w:t xml:space="preserve">. </w:t>
      </w:r>
      <w:r w:rsidR="00D42692">
        <w:t>Po wykonaniu wszystkich prac montażowych i przyspawaniu blach węzłowych rurociągi odciąć w płaszczyźnie wskazanej w projekcie instalacyjnym.</w:t>
      </w:r>
    </w:p>
    <w:p w14:paraId="11387B54" w14:textId="6644BA36" w:rsidR="00870159" w:rsidRDefault="00870159" w:rsidP="00A94F08">
      <w:pPr>
        <w:pStyle w:val="nagwek3ANES"/>
        <w:jc w:val="both"/>
      </w:pPr>
      <w:r>
        <w:t>Tymczasowy punkt stały T</w:t>
      </w:r>
      <w:r w:rsidR="00A25191">
        <w:t>3</w:t>
      </w:r>
      <w:r>
        <w:t xml:space="preserve"> </w:t>
      </w:r>
    </w:p>
    <w:p w14:paraId="133F73BF" w14:textId="678D9B86" w:rsidR="00CF339F" w:rsidRDefault="00CF339F" w:rsidP="00CF339F">
      <w:pPr>
        <w:jc w:val="both"/>
      </w:pPr>
      <w:r>
        <w:t xml:space="preserve">Tymczasowy punkt stały T3 podpierający na czas remontu rurociągi </w:t>
      </w:r>
      <w:r w:rsidRPr="006A22E8">
        <w:sym w:font="Symbol" w:char="F0C6"/>
      </w:r>
      <w:r>
        <w:t xml:space="preserve">80 stanowią 2 kozły składające się ze słupka i zastrzału z C120. Kozły mocowane do podłogi 3 kotwami mechanicznymi HST-3 M10. Słupki kozłów oparte dołem na podwalinie z C120 mocowanej do posadzki 2 kotwami HST-3 M10. Górą kozły spięte 2 belkami C120, które za pomocą dwóch blach węzłowych utrzymują rury </w:t>
      </w:r>
      <w:r w:rsidRPr="006A22E8">
        <w:sym w:font="Symbol" w:char="F0C6"/>
      </w:r>
      <w:r>
        <w:t>80. Po wykonaniu wszystkich prac montażowych i przyspawaniu blach węzłowych rurociągi odciąć w płaszczyźnie wskazanej w projekcie instalacyjnym.</w:t>
      </w:r>
    </w:p>
    <w:p w14:paraId="3FDC9221" w14:textId="772038E5" w:rsidR="00CF339F" w:rsidRDefault="00CF339F" w:rsidP="00CF339F">
      <w:pPr>
        <w:pStyle w:val="nagwek3ANES"/>
        <w:jc w:val="both"/>
      </w:pPr>
      <w:r>
        <w:t>Punkt stały PS</w:t>
      </w:r>
    </w:p>
    <w:p w14:paraId="0BDEC32C" w14:textId="2BB1D173" w:rsidR="00CF339F" w:rsidRDefault="00CF339F" w:rsidP="00CF339F">
      <w:pPr>
        <w:jc w:val="both"/>
      </w:pPr>
      <w:r>
        <w:t xml:space="preserve">Do odtworzenia połączenia rurociągów </w:t>
      </w:r>
      <w:r w:rsidRPr="006A22E8">
        <w:sym w:font="Symbol" w:char="F0C6"/>
      </w:r>
      <w:r>
        <w:t xml:space="preserve">250 ze istniejącą konstrukcją punktu stałego zastosować wydane w projekcie żebra z blachy 10mm. </w:t>
      </w:r>
    </w:p>
    <w:p w14:paraId="48FD7E21" w14:textId="77777777" w:rsidR="00CF339F" w:rsidRDefault="00CF339F" w:rsidP="00CF339F">
      <w:pPr>
        <w:jc w:val="both"/>
      </w:pPr>
    </w:p>
    <w:p w14:paraId="20759340" w14:textId="77777777" w:rsidR="008303E8" w:rsidRPr="006A22E8" w:rsidRDefault="008303E8" w:rsidP="00A94F08">
      <w:pPr>
        <w:pStyle w:val="nagwek2ANES"/>
        <w:jc w:val="both"/>
      </w:pPr>
      <w:bookmarkStart w:id="27" w:name="_Toc346879520"/>
      <w:bookmarkStart w:id="28" w:name="_Toc148092087"/>
      <w:bookmarkEnd w:id="23"/>
      <w:r w:rsidRPr="006A22E8">
        <w:t>Zabezpieczenia antykorozyjne elementów stalowych</w:t>
      </w:r>
      <w:bookmarkEnd w:id="28"/>
    </w:p>
    <w:p w14:paraId="43E7DE03" w14:textId="56AC927C" w:rsidR="005B6EF4" w:rsidRDefault="005B6EF4" w:rsidP="00A94F08">
      <w:pPr>
        <w:pStyle w:val="nagwek3ANES"/>
        <w:jc w:val="both"/>
      </w:pPr>
      <w:r>
        <w:t>Zakres</w:t>
      </w:r>
    </w:p>
    <w:p w14:paraId="61CDBF71" w14:textId="3AB6D6E6" w:rsidR="005B6EF4" w:rsidRDefault="00D56CD1" w:rsidP="00A94F08">
      <w:pPr>
        <w:jc w:val="both"/>
      </w:pPr>
      <w:r>
        <w:t>Zabezpieczeniu</w:t>
      </w:r>
      <w:r w:rsidR="008303E8" w:rsidRPr="006A22E8">
        <w:t xml:space="preserve"> podlegają elementy stalowe konstrukcji punkt</w:t>
      </w:r>
      <w:r w:rsidR="00D96E54">
        <w:t>u</w:t>
      </w:r>
      <w:r w:rsidR="008303E8" w:rsidRPr="006A22E8">
        <w:t xml:space="preserve"> stał</w:t>
      </w:r>
      <w:r w:rsidR="00D96E54">
        <w:t>ego</w:t>
      </w:r>
      <w:r w:rsidR="008303E8" w:rsidRPr="006A22E8">
        <w:t xml:space="preserve">. </w:t>
      </w:r>
    </w:p>
    <w:p w14:paraId="0B417967" w14:textId="77777777" w:rsidR="005B6EF4" w:rsidRDefault="005B6EF4" w:rsidP="00A94F08">
      <w:pPr>
        <w:pStyle w:val="nagwek3ANES"/>
        <w:jc w:val="both"/>
        <w:rPr>
          <w:lang w:eastAsia="ru-RU"/>
        </w:rPr>
      </w:pPr>
      <w:r>
        <w:rPr>
          <w:lang w:eastAsia="ru-RU"/>
        </w:rPr>
        <w:t>Wymagania normowe</w:t>
      </w:r>
    </w:p>
    <w:p w14:paraId="69DB20BC" w14:textId="262872AA" w:rsidR="005B6EF4" w:rsidRPr="00B81F64" w:rsidRDefault="005B6EF4" w:rsidP="00190E97">
      <w:pPr>
        <w:pStyle w:val="punktowanieANES"/>
        <w:rPr>
          <w:lang w:eastAsia="ru-RU"/>
        </w:rPr>
      </w:pPr>
      <w:r w:rsidRPr="005B6EF4">
        <w:t>Szczegółowe wymagania w zakresie malowania powierzchni wg PN-EN ISO 12944 z</w:t>
      </w:r>
      <w:r w:rsidRPr="00B81F64">
        <w:rPr>
          <w:lang w:eastAsia="ru-RU"/>
        </w:rPr>
        <w:t xml:space="preserve"> załącznikiem F</w:t>
      </w:r>
      <w:r w:rsidR="000A7CF3">
        <w:rPr>
          <w:lang w:eastAsia="ru-RU"/>
        </w:rPr>
        <w:t>,</w:t>
      </w:r>
    </w:p>
    <w:p w14:paraId="1683AE9B" w14:textId="78C3BC8B" w:rsidR="005B6EF4" w:rsidRPr="00B81F64" w:rsidRDefault="005B6EF4" w:rsidP="00190E97">
      <w:pPr>
        <w:pStyle w:val="punktowanieANES"/>
        <w:rPr>
          <w:lang w:eastAsia="ru-RU"/>
        </w:rPr>
      </w:pPr>
      <w:r w:rsidRPr="00B81F64">
        <w:rPr>
          <w:lang w:eastAsia="ru-RU"/>
        </w:rPr>
        <w:t>Kategoria korozyjności atmosfery wg  PN-EN ISO 12944-2 dla obiektu C-</w:t>
      </w:r>
      <w:r w:rsidR="00B77FF5">
        <w:rPr>
          <w:lang w:eastAsia="ru-RU"/>
        </w:rPr>
        <w:t>4</w:t>
      </w:r>
      <w:r w:rsidR="000A7CF3">
        <w:rPr>
          <w:lang w:eastAsia="ru-RU"/>
        </w:rPr>
        <w:t>,</w:t>
      </w:r>
    </w:p>
    <w:p w14:paraId="54CE2FC6" w14:textId="14CB9489" w:rsidR="005B6EF4" w:rsidRPr="00B81F64" w:rsidRDefault="005B6EF4" w:rsidP="00190E97">
      <w:pPr>
        <w:pStyle w:val="punktowanieANES"/>
        <w:rPr>
          <w:lang w:eastAsia="ru-RU"/>
        </w:rPr>
      </w:pPr>
      <w:r w:rsidRPr="005B6EF4">
        <w:t xml:space="preserve">Oczekiwana trwałość powłoki wg PN-EN ISO 129441  –  długa (H) </w:t>
      </w:r>
      <w:proofErr w:type="spellStart"/>
      <w:r w:rsidRPr="005B6EF4">
        <w:t>t.j</w:t>
      </w:r>
      <w:proofErr w:type="spellEnd"/>
      <w:r w:rsidRPr="005B6EF4">
        <w:t>. większa niż 15</w:t>
      </w:r>
      <w:r w:rsidRPr="00B81F64">
        <w:rPr>
          <w:lang w:eastAsia="ru-RU"/>
        </w:rPr>
        <w:t xml:space="preserve"> lat</w:t>
      </w:r>
      <w:r w:rsidR="000A7CF3">
        <w:rPr>
          <w:lang w:eastAsia="ru-RU"/>
        </w:rPr>
        <w:t>,</w:t>
      </w:r>
    </w:p>
    <w:p w14:paraId="050B9301" w14:textId="5C257D08" w:rsidR="005B6EF4" w:rsidRPr="00824ACB" w:rsidRDefault="005B6EF4" w:rsidP="00190E97">
      <w:pPr>
        <w:pStyle w:val="punktowanieANES"/>
      </w:pPr>
      <w:r>
        <w:lastRenderedPageBreak/>
        <w:t>Wymagany zestaw malarski</w:t>
      </w:r>
      <w:r w:rsidRPr="00B81F64">
        <w:t xml:space="preserve"> </w:t>
      </w:r>
      <w:r>
        <w:t>wg PN-EN ISO 12944-5: A</w:t>
      </w:r>
      <w:r w:rsidR="00B77FF5">
        <w:t>4.15</w:t>
      </w:r>
      <w:r>
        <w:t xml:space="preserve"> EPPUR</w:t>
      </w:r>
      <w:r w:rsidR="000A7CF3">
        <w:t>,</w:t>
      </w:r>
    </w:p>
    <w:p w14:paraId="28133933" w14:textId="77777777" w:rsidR="005B6EF4" w:rsidRDefault="005B6EF4" w:rsidP="00A94F08">
      <w:pPr>
        <w:pStyle w:val="nagwek3ANES"/>
        <w:jc w:val="both"/>
      </w:pPr>
      <w:r>
        <w:t>Przygotowanie powierzchni</w:t>
      </w:r>
    </w:p>
    <w:p w14:paraId="048616F9" w14:textId="75421305" w:rsidR="005B6EF4" w:rsidRDefault="005B6EF4" w:rsidP="00190E97">
      <w:pPr>
        <w:pStyle w:val="punktowanieANES"/>
      </w:pPr>
      <w:r>
        <w:t>Mycie powierzchni celem odtłuszczenia i usunięcia zanieczyszczeń jonowych</w:t>
      </w:r>
      <w:r w:rsidR="000A7CF3">
        <w:t>,</w:t>
      </w:r>
    </w:p>
    <w:p w14:paraId="43C64211" w14:textId="02E09B09" w:rsidR="00B77FF5" w:rsidRDefault="005B6EF4" w:rsidP="00190E97">
      <w:pPr>
        <w:pStyle w:val="punktowanieANES"/>
      </w:pPr>
      <w:r>
        <w:t>Czyszczenie zasadnicze metodą obróbki strumieniowo - ściernej do stopnia przygotowania powierzchni Sa</w:t>
      </w:r>
      <w:r w:rsidR="00B77FF5">
        <w:t>2½</w:t>
      </w:r>
      <w:r w:rsidR="000A7CF3">
        <w:t>,</w:t>
      </w:r>
    </w:p>
    <w:p w14:paraId="216CEF97" w14:textId="7DA85140" w:rsidR="005B6EF4" w:rsidRDefault="005B6EF4" w:rsidP="00190E97">
      <w:pPr>
        <w:pStyle w:val="punktowanieANES"/>
      </w:pPr>
      <w:r>
        <w:t>Odpylenie</w:t>
      </w:r>
      <w:r w:rsidR="000A7CF3">
        <w:t>.</w:t>
      </w:r>
    </w:p>
    <w:p w14:paraId="6B303797" w14:textId="77777777" w:rsidR="005B6EF4" w:rsidRDefault="005B6EF4" w:rsidP="00A94F08">
      <w:pPr>
        <w:pStyle w:val="nagwek3ANES"/>
        <w:jc w:val="both"/>
      </w:pPr>
      <w:r>
        <w:t>Wykonanie pokrycia malarskiego</w:t>
      </w:r>
    </w:p>
    <w:p w14:paraId="0DF93FF1" w14:textId="4AE33C65" w:rsidR="00061EF3" w:rsidRDefault="00061EF3" w:rsidP="00A94F08">
      <w:pPr>
        <w:jc w:val="both"/>
      </w:pPr>
      <w:r w:rsidRPr="006A22E8">
        <w:t>Wykonywanie powłok malarskich przeciwkorozyjnych jest dozwolone, gdy temperatura otoczenia miejsca pracy wynosi co najmniej 5</w:t>
      </w:r>
      <w:r w:rsidRPr="006A22E8">
        <w:rPr>
          <w:rFonts w:cs="Arial"/>
        </w:rPr>
        <w:t>˚</w:t>
      </w:r>
      <w:r w:rsidRPr="006A22E8">
        <w:t>C a wilgotność względna powietrza nie przekracza 85 %, temperatura konstrukcji zawiera się w przedziale 3-40</w:t>
      </w:r>
      <w:r w:rsidRPr="006A22E8">
        <w:rPr>
          <w:rFonts w:cs="Arial"/>
        </w:rPr>
        <w:t>˚</w:t>
      </w:r>
      <w:r w:rsidRPr="006A22E8">
        <w:t xml:space="preserve">C. Oczyszczone powierzchnie przed upływem 4 godzin należy pomalować warstwą farby podkładowej. Gdyby w okresie tym wystąpiła wilgoć na oczyszczonej powierzchni, to po jej wyschnięciu operację czyszczenia należy wykonać ponownie. </w:t>
      </w:r>
      <w:r w:rsidRPr="00B81F64">
        <w:t>Kolejne warstwy można nakładać  na powierzchnie, która powinna być sucha , pozbawiona śladów korozji, tłuszczu i kurzu.</w:t>
      </w:r>
    </w:p>
    <w:p w14:paraId="66BC22DD" w14:textId="5A9255A5" w:rsidR="00061EF3" w:rsidRDefault="00061EF3" w:rsidP="00A94F08">
      <w:pPr>
        <w:jc w:val="both"/>
      </w:pPr>
      <w:r w:rsidRPr="006A22E8">
        <w:t xml:space="preserve">Przy wykonywaniu powłok antykorozyjnych należy przestrzegać wymagań określonych w dokumentacji technicznej lub instrukcji stosowania powłok malarskich opracowanych przez producenta. </w:t>
      </w:r>
      <w:r w:rsidRPr="00B81F64">
        <w:t xml:space="preserve">Do zabezpieczeń przed korozją należy stosować materiały, które objęte są normami przedmiotowymi lub świadectwami dopuszczenia do stosowania w budownictwie. </w:t>
      </w:r>
    </w:p>
    <w:p w14:paraId="0EAF73EA" w14:textId="44B8F99E" w:rsidR="00061EF3" w:rsidRPr="006A22E8" w:rsidRDefault="00061EF3" w:rsidP="00A94F08">
      <w:pPr>
        <w:jc w:val="both"/>
      </w:pPr>
      <w:r w:rsidRPr="006A22E8">
        <w:t>Materiały powinny być użyte do zabezpieczenia w okresie ich gwarantowanej jakości, a własności powinny być potwierdzone zaświadczeniami o jakości.</w:t>
      </w:r>
    </w:p>
    <w:p w14:paraId="1C34970F" w14:textId="3AEC8138" w:rsidR="005B6EF4" w:rsidRDefault="005B6EF4" w:rsidP="00A94F08">
      <w:pPr>
        <w:jc w:val="both"/>
      </w:pPr>
      <w:r w:rsidRPr="00B81F64">
        <w:t>Przy wykonywaniu powłok antykorozyjnych należy przestrzegać wymagań dotyczących temperatury otoczenia, wilgotności powietrza, czasów międzyoperacyjnych i innych szczegółowych wymagań określonych w dokumentacji technicznej lub instrukcji stosowania powłok malarskich opracowanych przez producenta</w:t>
      </w:r>
      <w:r>
        <w:t xml:space="preserve">. </w:t>
      </w:r>
      <w:r w:rsidRPr="00B81F64">
        <w:t>Zwrócić uwagę na ewentualne ograniczenia dotyczące czasu do nakładania kolejnych warstw</w:t>
      </w:r>
      <w:r>
        <w:t>.</w:t>
      </w:r>
    </w:p>
    <w:p w14:paraId="2893D199" w14:textId="77777777" w:rsidR="005B6EF4" w:rsidRPr="00B81F64" w:rsidRDefault="005B6EF4" w:rsidP="00A94F08">
      <w:pPr>
        <w:pStyle w:val="nagwek3ANES"/>
        <w:jc w:val="both"/>
      </w:pPr>
      <w:r>
        <w:t>Z</w:t>
      </w:r>
      <w:r w:rsidRPr="00B81F64">
        <w:t>estaw malarski</w:t>
      </w:r>
    </w:p>
    <w:p w14:paraId="26BFF73E" w14:textId="49E33A47" w:rsidR="00AE3EC6" w:rsidRDefault="00AE3EC6" w:rsidP="00A94F08">
      <w:pPr>
        <w:jc w:val="both"/>
      </w:pPr>
      <w:r>
        <w:t xml:space="preserve">Proponowany zestaw malarski epoksydowo – </w:t>
      </w:r>
      <w:proofErr w:type="spellStart"/>
      <w:r>
        <w:t>poliuratenowy</w:t>
      </w:r>
      <w:proofErr w:type="spellEnd"/>
      <w:r w:rsidR="007C3E39">
        <w:t xml:space="preserve"> o grubości 180</w:t>
      </w:r>
      <w:r w:rsidR="007C3E39">
        <w:rPr>
          <w:rFonts w:cs="Arial"/>
        </w:rPr>
        <w:t>μ</w:t>
      </w:r>
      <w:r w:rsidR="007C3E39">
        <w:t>m</w:t>
      </w:r>
      <w:r>
        <w:t>:</w:t>
      </w:r>
    </w:p>
    <w:p w14:paraId="6DCCE72C" w14:textId="3D42122B" w:rsidR="00AE3EC6" w:rsidRDefault="00AE3EC6" w:rsidP="00190E97">
      <w:pPr>
        <w:pStyle w:val="punktowanieANES"/>
      </w:pPr>
      <w:r>
        <w:t xml:space="preserve">FEG-C farba epoksydowa </w:t>
      </w:r>
      <w:proofErr w:type="spellStart"/>
      <w:r>
        <w:t>grubopowłokowa</w:t>
      </w:r>
      <w:proofErr w:type="spellEnd"/>
      <w:r>
        <w:t xml:space="preserve"> przeciwrdzewna dwuskładnikowa: grubość warstwy 80</w:t>
      </w:r>
      <w:r>
        <w:rPr>
          <w:rFonts w:cs="Arial"/>
        </w:rPr>
        <w:t>μ</w:t>
      </w:r>
      <w:r>
        <w:t>m zużycie 0,15l/m</w:t>
      </w:r>
      <w:r>
        <w:rPr>
          <w:vertAlign w:val="superscript"/>
        </w:rPr>
        <w:t>2</w:t>
      </w:r>
      <w:r>
        <w:t>, liczba warstw 1</w:t>
      </w:r>
      <w:r w:rsidR="000A7CF3">
        <w:t>,</w:t>
      </w:r>
    </w:p>
    <w:p w14:paraId="002A31B8" w14:textId="2ABFC73A" w:rsidR="00B77FF5" w:rsidRDefault="00AE3EC6" w:rsidP="00190E97">
      <w:pPr>
        <w:pStyle w:val="punktowanieANES"/>
      </w:pPr>
      <w:r>
        <w:t>LOWIGRAF-PUR emalia poliuretanowa na metale dwuskładnikowa: grubość warstwy 50</w:t>
      </w:r>
      <w:r>
        <w:rPr>
          <w:rFonts w:cs="Arial"/>
        </w:rPr>
        <w:t>μ</w:t>
      </w:r>
      <w:r>
        <w:t>m zużycie 0,1</w:t>
      </w:r>
      <w:r w:rsidR="007C3E39">
        <w:t>1</w:t>
      </w:r>
      <w:r>
        <w:t>l/m</w:t>
      </w:r>
      <w:r>
        <w:rPr>
          <w:vertAlign w:val="superscript"/>
        </w:rPr>
        <w:t>2</w:t>
      </w:r>
      <w:r>
        <w:t xml:space="preserve">, liczba warstw </w:t>
      </w:r>
      <w:r w:rsidR="007C3E39">
        <w:t>2</w:t>
      </w:r>
      <w:r w:rsidR="000A7CF3">
        <w:t>.</w:t>
      </w:r>
    </w:p>
    <w:p w14:paraId="25AF00DB" w14:textId="56EDDE5C" w:rsidR="007C3E39" w:rsidRDefault="007C3E39" w:rsidP="00A94F08">
      <w:pPr>
        <w:jc w:val="both"/>
      </w:pPr>
      <w:r>
        <w:t>Kolory z palety szarości np. RAL7032 i RAL7035 pod warunkiem zastosowania różnych kolorów dla każdej warstwy.</w:t>
      </w:r>
    </w:p>
    <w:p w14:paraId="49DCA86F" w14:textId="5741F59D" w:rsidR="005B6EF4" w:rsidRDefault="005B6EF4" w:rsidP="00A94F08">
      <w:pPr>
        <w:jc w:val="both"/>
      </w:pPr>
      <w:r>
        <w:lastRenderedPageBreak/>
        <w:t>Nazwy, ilość i grubości warstw oraz p</w:t>
      </w:r>
      <w:r w:rsidRPr="00B81F64">
        <w:t>arametry techniczne wyrobów wg kart katalogowych producenta</w:t>
      </w:r>
      <w:r w:rsidR="007C3E39">
        <w:t xml:space="preserve"> </w:t>
      </w:r>
      <w:hyperlink r:id="rId9" w:history="1">
        <w:r w:rsidR="007C3E39" w:rsidRPr="00530B84">
          <w:rPr>
            <w:rStyle w:val="Hipercze"/>
          </w:rPr>
          <w:t>www.polifarb.lodz.pl</w:t>
        </w:r>
      </w:hyperlink>
    </w:p>
    <w:p w14:paraId="09841184" w14:textId="6F2825AC" w:rsidR="007D3000" w:rsidRPr="006A22E8" w:rsidRDefault="007D3000" w:rsidP="00A94F08">
      <w:pPr>
        <w:pStyle w:val="nagwek1ANES"/>
        <w:jc w:val="both"/>
      </w:pPr>
      <w:bookmarkStart w:id="29" w:name="_Toc350425667"/>
      <w:bookmarkStart w:id="30" w:name="_Toc446324610"/>
      <w:bookmarkStart w:id="31" w:name="_Toc148092088"/>
      <w:bookmarkEnd w:id="27"/>
      <w:r w:rsidRPr="006A22E8">
        <w:t>Warunki wykonawstwa</w:t>
      </w:r>
      <w:bookmarkEnd w:id="29"/>
      <w:bookmarkEnd w:id="30"/>
      <w:bookmarkEnd w:id="31"/>
    </w:p>
    <w:p w14:paraId="2AA09CBE" w14:textId="77777777" w:rsidR="007D3000" w:rsidRPr="006A22E8" w:rsidRDefault="007D3000" w:rsidP="00A94F08">
      <w:pPr>
        <w:pStyle w:val="nagwek2ANES"/>
        <w:jc w:val="both"/>
      </w:pPr>
      <w:bookmarkStart w:id="32" w:name="_Toc350425668"/>
      <w:bookmarkStart w:id="33" w:name="_Toc446324611"/>
      <w:bookmarkStart w:id="34" w:name="_Toc148092089"/>
      <w:r w:rsidRPr="006A22E8">
        <w:t>Warunki ogólne</w:t>
      </w:r>
      <w:bookmarkEnd w:id="32"/>
      <w:bookmarkEnd w:id="33"/>
      <w:bookmarkEnd w:id="34"/>
    </w:p>
    <w:p w14:paraId="6EA9E9CE" w14:textId="77777777" w:rsidR="007D3000" w:rsidRPr="006A22E8" w:rsidRDefault="007D3000" w:rsidP="00A94F08">
      <w:pPr>
        <w:jc w:val="both"/>
      </w:pPr>
      <w:r w:rsidRPr="006A22E8">
        <w:t xml:space="preserve">Wykonywanie robót powinno odpowiadać „Warunkom technicznym wykonania i odbioru robót budowlano-montażowych” tom I-IV </w:t>
      </w:r>
      <w:proofErr w:type="spellStart"/>
      <w:r w:rsidRPr="006A22E8">
        <w:t>MGPiB</w:t>
      </w:r>
      <w:proofErr w:type="spellEnd"/>
      <w:r w:rsidRPr="006A22E8">
        <w:t xml:space="preserve"> W-</w:t>
      </w:r>
      <w:proofErr w:type="spellStart"/>
      <w:r w:rsidRPr="006A22E8">
        <w:t>wa</w:t>
      </w:r>
      <w:proofErr w:type="spellEnd"/>
      <w:r w:rsidRPr="006A22E8">
        <w:t xml:space="preserve"> 1989r, odpowiednim normom oraz zaleceniom producenta. Wszystkie materiały użyte do prac remontowych winny posiadać odpowiedni certyfikat stwierdzający przydatność techniczną materiału i zgodność z normami oraz atest stwierdzający spełnienie wymagań </w:t>
      </w:r>
      <w:proofErr w:type="spellStart"/>
      <w:r w:rsidRPr="006A22E8">
        <w:t>higieniczno</w:t>
      </w:r>
      <w:proofErr w:type="spellEnd"/>
      <w:r w:rsidRPr="006A22E8">
        <w:t xml:space="preserve"> – zdrowotnych. W sposób jednoznaczny warunki te spełniają wyroby opatrzone znakiem „B” zgodnie z Rozporządzeniem MSWiA z 31.07.1998.</w:t>
      </w:r>
    </w:p>
    <w:p w14:paraId="077B7A4D" w14:textId="2A7F2247" w:rsidR="007D3000" w:rsidRPr="006A22E8" w:rsidRDefault="007D3000" w:rsidP="00A94F08">
      <w:pPr>
        <w:pStyle w:val="nagwek2ANES"/>
        <w:jc w:val="both"/>
      </w:pPr>
      <w:bookmarkStart w:id="35" w:name="_Toc350425669"/>
      <w:bookmarkStart w:id="36" w:name="_Toc446324612"/>
      <w:bookmarkStart w:id="37" w:name="_Toc148092090"/>
      <w:r w:rsidRPr="006A22E8">
        <w:t>Warunki BHP i p-</w:t>
      </w:r>
      <w:proofErr w:type="spellStart"/>
      <w:r w:rsidRPr="006A22E8">
        <w:t>poż</w:t>
      </w:r>
      <w:bookmarkEnd w:id="35"/>
      <w:bookmarkEnd w:id="36"/>
      <w:proofErr w:type="spellEnd"/>
      <w:r w:rsidR="00274E2F">
        <w:t>.</w:t>
      </w:r>
      <w:bookmarkEnd w:id="37"/>
    </w:p>
    <w:p w14:paraId="270F9632" w14:textId="77777777" w:rsidR="007D3000" w:rsidRPr="006A22E8" w:rsidRDefault="007D3000" w:rsidP="00A94F08">
      <w:pPr>
        <w:jc w:val="both"/>
      </w:pPr>
      <w:r w:rsidRPr="006A22E8">
        <w:t>Wszelkie prace budowlane należy wykonywać zgodnie z przepisami BHP dotyczącymi budownictwa. Pracownicy powinni być przeszkoleni, a nadzór winna sprawować osoba posiadająca odpowiednie uprawnienia. Teren winien być ogrodzony. Wszelkie prace należy wykonywać zachowując szczególną ostrożność i przestrzegając przepisów ochrony przeciwpożarowej. Należy się stosować do wymagań właściciela obiektu oraz państwowych służb nadzoru budowlanego.</w:t>
      </w:r>
    </w:p>
    <w:p w14:paraId="1C01B4D0" w14:textId="77777777" w:rsidR="007D3000" w:rsidRPr="006A22E8" w:rsidRDefault="007D3000" w:rsidP="00A94F08">
      <w:pPr>
        <w:pStyle w:val="nagwek1ANES"/>
        <w:jc w:val="both"/>
      </w:pPr>
      <w:bookmarkStart w:id="38" w:name="_Toc350425670"/>
      <w:bookmarkStart w:id="39" w:name="_Toc446324613"/>
      <w:bookmarkStart w:id="40" w:name="_Toc148092091"/>
      <w:r w:rsidRPr="006A22E8">
        <w:t>INFORMACJA DOTYCZĄCA BEZPIECZEŃSTWA I OCHRONY ZDROWIA</w:t>
      </w:r>
      <w:bookmarkEnd w:id="38"/>
      <w:bookmarkEnd w:id="39"/>
      <w:bookmarkEnd w:id="40"/>
    </w:p>
    <w:p w14:paraId="08824F55" w14:textId="77777777" w:rsidR="007D3000" w:rsidRPr="006A22E8" w:rsidRDefault="007D3000" w:rsidP="00A94F08">
      <w:pPr>
        <w:pStyle w:val="nagwek2ANES"/>
        <w:jc w:val="both"/>
      </w:pPr>
      <w:bookmarkStart w:id="41" w:name="_Toc350425671"/>
      <w:bookmarkStart w:id="42" w:name="_Toc446324614"/>
      <w:bookmarkStart w:id="43" w:name="_Toc148092092"/>
      <w:r w:rsidRPr="006A22E8">
        <w:t>Zakres robót</w:t>
      </w:r>
      <w:bookmarkEnd w:id="41"/>
      <w:bookmarkEnd w:id="42"/>
      <w:bookmarkEnd w:id="43"/>
    </w:p>
    <w:p w14:paraId="0A2A1319" w14:textId="2F44FDAA" w:rsidR="007D3000" w:rsidRPr="006A22E8" w:rsidRDefault="007D3000" w:rsidP="00A94F08">
      <w:pPr>
        <w:jc w:val="both"/>
      </w:pPr>
      <w:r w:rsidRPr="006A22E8">
        <w:t xml:space="preserve">Inwestycja </w:t>
      </w:r>
      <w:r w:rsidR="00CF339F">
        <w:t>wykonanie konstrukcji stalowej, roboty spawalnicze i</w:t>
      </w:r>
      <w:r w:rsidRPr="006A22E8">
        <w:t xml:space="preserve"> malarskie.</w:t>
      </w:r>
    </w:p>
    <w:p w14:paraId="0B2B67CC" w14:textId="77777777" w:rsidR="007D3000" w:rsidRPr="006A22E8" w:rsidRDefault="007D3000" w:rsidP="00A94F08">
      <w:pPr>
        <w:pStyle w:val="nagwek2ANES"/>
        <w:jc w:val="both"/>
      </w:pPr>
      <w:bookmarkStart w:id="44" w:name="_Toc350425672"/>
      <w:bookmarkStart w:id="45" w:name="_Toc446324615"/>
      <w:bookmarkStart w:id="46" w:name="_Toc148092093"/>
      <w:r w:rsidRPr="006A22E8">
        <w:t>Wykaz istniejących obiektów</w:t>
      </w:r>
      <w:bookmarkEnd w:id="44"/>
      <w:bookmarkEnd w:id="45"/>
      <w:bookmarkEnd w:id="46"/>
      <w:r w:rsidRPr="006A22E8">
        <w:t xml:space="preserve"> </w:t>
      </w:r>
    </w:p>
    <w:p w14:paraId="1B39BC0D" w14:textId="3D1ABDD3" w:rsidR="007D3000" w:rsidRPr="006A22E8" w:rsidRDefault="007D3000" w:rsidP="00A94F08">
      <w:pPr>
        <w:jc w:val="both"/>
      </w:pPr>
      <w:r w:rsidRPr="006A22E8">
        <w:t>Na działce zlokalizowana jest komora K</w:t>
      </w:r>
      <w:r w:rsidR="00190E97">
        <w:t>-</w:t>
      </w:r>
      <w:r w:rsidR="00CF339F">
        <w:t>705</w:t>
      </w:r>
      <w:r w:rsidRPr="006A22E8">
        <w:t xml:space="preserve"> przy </w:t>
      </w:r>
      <w:r w:rsidR="00743B36">
        <w:t xml:space="preserve">ul. </w:t>
      </w:r>
      <w:r w:rsidR="00CF339F">
        <w:t>Sympatycznej</w:t>
      </w:r>
      <w:r w:rsidR="00190E97">
        <w:t>.</w:t>
      </w:r>
    </w:p>
    <w:p w14:paraId="10F00861" w14:textId="77777777" w:rsidR="007D3000" w:rsidRPr="006A22E8" w:rsidRDefault="007D3000" w:rsidP="00A94F08">
      <w:pPr>
        <w:pStyle w:val="nagwek2ANES"/>
        <w:jc w:val="both"/>
      </w:pPr>
      <w:bookmarkStart w:id="47" w:name="_Toc350425673"/>
      <w:bookmarkStart w:id="48" w:name="_Toc446324616"/>
      <w:bookmarkStart w:id="49" w:name="_Toc148092094"/>
      <w:r w:rsidRPr="006A22E8">
        <w:t>Elementy zagospodarowania działki mogące stwarzać zagrożenie bezpieczeństwa i zdrowia ludzi</w:t>
      </w:r>
      <w:bookmarkEnd w:id="47"/>
      <w:bookmarkEnd w:id="48"/>
      <w:bookmarkEnd w:id="49"/>
    </w:p>
    <w:p w14:paraId="637E39EB" w14:textId="77777777" w:rsidR="007D3000" w:rsidRPr="006A22E8" w:rsidRDefault="007D3000" w:rsidP="00A94F08">
      <w:pPr>
        <w:jc w:val="both"/>
      </w:pPr>
      <w:r w:rsidRPr="006A22E8">
        <w:t>Teren wokół komór należy odgrodzić na czas wykonywania prac.</w:t>
      </w:r>
    </w:p>
    <w:p w14:paraId="7C80CD8D" w14:textId="77777777" w:rsidR="007D3000" w:rsidRPr="006A22E8" w:rsidRDefault="007D3000" w:rsidP="00A94F08">
      <w:pPr>
        <w:pStyle w:val="nagwek2ANES"/>
        <w:jc w:val="both"/>
      </w:pPr>
      <w:bookmarkStart w:id="50" w:name="_Toc350425674"/>
      <w:bookmarkStart w:id="51" w:name="_Toc446324617"/>
      <w:bookmarkStart w:id="52" w:name="_Toc148092095"/>
      <w:r w:rsidRPr="006A22E8">
        <w:lastRenderedPageBreak/>
        <w:t>Przewidywane zagrożenia podczas realizacji robót</w:t>
      </w:r>
      <w:bookmarkEnd w:id="50"/>
      <w:bookmarkEnd w:id="51"/>
      <w:bookmarkEnd w:id="52"/>
    </w:p>
    <w:p w14:paraId="745A8A9D" w14:textId="6D86E905" w:rsidR="007D3000" w:rsidRPr="006A22E8" w:rsidRDefault="007D3000" w:rsidP="00A94F08">
      <w:pPr>
        <w:jc w:val="both"/>
      </w:pPr>
      <w:r w:rsidRPr="006A22E8">
        <w:t>Do prac stwarzających zagrożenie zaliczyć można prace remontowe wewnątrz komory.</w:t>
      </w:r>
    </w:p>
    <w:p w14:paraId="5084948E" w14:textId="77777777" w:rsidR="007D3000" w:rsidRPr="006A22E8" w:rsidRDefault="007D3000" w:rsidP="00A94F08">
      <w:pPr>
        <w:jc w:val="both"/>
      </w:pPr>
      <w:r w:rsidRPr="006A22E8">
        <w:t>Szczególna uwagę należy zwrócić podczas:</w:t>
      </w:r>
    </w:p>
    <w:p w14:paraId="0943FE9B" w14:textId="22257C11" w:rsidR="007D3000" w:rsidRPr="006A22E8" w:rsidRDefault="00190E97" w:rsidP="00190E97">
      <w:pPr>
        <w:pStyle w:val="punktowanieANES"/>
      </w:pPr>
      <w:r>
        <w:t>T</w:t>
      </w:r>
      <w:r w:rsidR="007D3000" w:rsidRPr="006A22E8">
        <w:t>ransportu i składowania materiałów i urządzeń technicznych,</w:t>
      </w:r>
    </w:p>
    <w:p w14:paraId="108B2CD2" w14:textId="1C276161" w:rsidR="008303E8" w:rsidRPr="006A22E8" w:rsidRDefault="00190E97" w:rsidP="00190E97">
      <w:pPr>
        <w:pStyle w:val="punktowanieANES"/>
      </w:pPr>
      <w:r>
        <w:t>C</w:t>
      </w:r>
      <w:r w:rsidR="008303E8" w:rsidRPr="006A22E8">
        <w:t xml:space="preserve">zyszczenia strumieniowo </w:t>
      </w:r>
      <w:r w:rsidR="00113CFD" w:rsidRPr="006A22E8">
        <w:t>–</w:t>
      </w:r>
      <w:r w:rsidR="008303E8" w:rsidRPr="006A22E8">
        <w:t xml:space="preserve"> ściernego</w:t>
      </w:r>
      <w:r>
        <w:t>,</w:t>
      </w:r>
    </w:p>
    <w:p w14:paraId="18BE22DC" w14:textId="2DCF8494" w:rsidR="00113CFD" w:rsidRPr="006A22E8" w:rsidRDefault="00190E97" w:rsidP="00190E97">
      <w:pPr>
        <w:pStyle w:val="punktowanieANES"/>
      </w:pPr>
      <w:r>
        <w:t>S</w:t>
      </w:r>
      <w:r w:rsidR="00113CFD" w:rsidRPr="006A22E8">
        <w:t>pawania</w:t>
      </w:r>
      <w:r>
        <w:t>,</w:t>
      </w:r>
    </w:p>
    <w:p w14:paraId="514C23AB" w14:textId="385AC99B" w:rsidR="007D3000" w:rsidRPr="006A22E8" w:rsidRDefault="00190E97" w:rsidP="00190E97">
      <w:pPr>
        <w:pStyle w:val="punktowanieANES"/>
      </w:pPr>
      <w:r>
        <w:t>W</w:t>
      </w:r>
      <w:r w:rsidR="007D3000" w:rsidRPr="006A22E8">
        <w:t>ykonywanie powłok malarskich wewnątrz komory.</w:t>
      </w:r>
    </w:p>
    <w:p w14:paraId="7101377A" w14:textId="78822236" w:rsidR="007D3000" w:rsidRPr="006A22E8" w:rsidRDefault="007D3000" w:rsidP="00A94F08">
      <w:pPr>
        <w:pStyle w:val="nagwek2ANES"/>
        <w:jc w:val="both"/>
      </w:pPr>
      <w:bookmarkStart w:id="53" w:name="_Toc350425675"/>
      <w:bookmarkStart w:id="54" w:name="_Toc446324618"/>
      <w:bookmarkStart w:id="55" w:name="_Toc148092096"/>
      <w:r w:rsidRPr="006A22E8">
        <w:t>Instruktaż pracowników</w:t>
      </w:r>
      <w:bookmarkEnd w:id="53"/>
      <w:bookmarkEnd w:id="54"/>
      <w:bookmarkEnd w:id="55"/>
    </w:p>
    <w:p w14:paraId="56BA33C9" w14:textId="075DDF75" w:rsidR="007D3000" w:rsidRPr="006A22E8" w:rsidRDefault="007D3000" w:rsidP="00A94F08">
      <w:pPr>
        <w:jc w:val="both"/>
      </w:pPr>
      <w:r w:rsidRPr="006A22E8">
        <w:t>Pracownicy zatrudnieni przez Inwestora, Wykonawcę oraz ich Podwykonawców powinni zostać poinstruowani i zobowiązani do ścisłego przestrzegania wytycznych ujętych w "Planie bezpieczeństwa i ochrony zdrowia" oraz przepisach BHP i p</w:t>
      </w:r>
      <w:r w:rsidR="00274E2F">
        <w:t>.</w:t>
      </w:r>
      <w:r w:rsidRPr="006A22E8">
        <w:t>poż</w:t>
      </w:r>
      <w:r w:rsidR="00274E2F">
        <w:t>.</w:t>
      </w:r>
      <w:r w:rsidRPr="006A22E8">
        <w:t xml:space="preserve"> obowiązujących na terenie zakładu Inwestora a w szczególności:</w:t>
      </w:r>
    </w:p>
    <w:p w14:paraId="40619896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Znać przepisy i zasady bezpieczeństwa i higieny pracy, brać udział w szkoleniu i instruktażu z tego zakresu oraz poddawać się wymaganym egzaminom,</w:t>
      </w:r>
    </w:p>
    <w:p w14:paraId="7B2781EA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Wykonywać pracę w sposób zgodny z przepisami i zasadami bezpieczeństwa i higieny pracy oraz stosować się do wydawanych w tym zakresie poleceń i wskazówek przełożonych,</w:t>
      </w:r>
    </w:p>
    <w:p w14:paraId="35AFDC87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Dbać o należyty stan maszyn, urządzeń, narzędzi i sprzętu oraz o porządek i ład w miejscu pracy,</w:t>
      </w:r>
    </w:p>
    <w:p w14:paraId="36ABFDE3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Stosować środki ochrony zbiorowej, a także używać środków ochrony indywidualnej oraz odzieży i obuwia roboczego, zgodnie z ich przeznaczeniem,</w:t>
      </w:r>
    </w:p>
    <w:p w14:paraId="7F37B4F1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Poddać się wstępnym, okresowym i kontrolnym oraz innym zaleconym badaniom lekarskim i stosować się do wskazań lekarskich,</w:t>
      </w:r>
    </w:p>
    <w:p w14:paraId="17258CB2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Niezwłocznie zawiadomić przełożonego o zauważonym na budowie wypadku, albo zagrożeniu życia lub zdrowia ludzkiego oraz ostrzec współpracowników, a także inne osoby znajdujące się w rejonie zagrożenia o grożącym im niebezpieczeństwie,</w:t>
      </w:r>
    </w:p>
    <w:p w14:paraId="169347FB" w14:textId="77777777" w:rsidR="007D3000" w:rsidRPr="006A22E8" w:rsidRDefault="007D3000" w:rsidP="00190E97">
      <w:pPr>
        <w:pStyle w:val="punktowanieANES"/>
        <w:numPr>
          <w:ilvl w:val="0"/>
          <w:numId w:val="35"/>
        </w:numPr>
      </w:pPr>
      <w:r w:rsidRPr="006A22E8">
        <w:t>Współdziałać z pracodawcą o przełożonym w wypełnianiu obowiązków dotyczących bezpieczeństwa i higieny pracy.</w:t>
      </w:r>
    </w:p>
    <w:p w14:paraId="2B3D2E51" w14:textId="77777777" w:rsidR="007D3000" w:rsidRPr="006A22E8" w:rsidRDefault="007D3000" w:rsidP="00A94F08">
      <w:pPr>
        <w:pStyle w:val="nagwek2ANES"/>
        <w:jc w:val="both"/>
      </w:pPr>
      <w:bookmarkStart w:id="56" w:name="_Toc350425676"/>
      <w:bookmarkStart w:id="57" w:name="_Toc446324619"/>
      <w:bookmarkStart w:id="58" w:name="_Toc148092097"/>
      <w:r w:rsidRPr="006A22E8">
        <w:t>Środki techniczne i organizacyjne zapobiegające niebezpieczeństwom</w:t>
      </w:r>
      <w:bookmarkEnd w:id="56"/>
      <w:bookmarkEnd w:id="57"/>
      <w:bookmarkEnd w:id="58"/>
    </w:p>
    <w:p w14:paraId="6526B3DD" w14:textId="77777777" w:rsidR="007D3000" w:rsidRPr="006A22E8" w:rsidRDefault="007D3000" w:rsidP="00190E97">
      <w:pPr>
        <w:pStyle w:val="Akapitzlist"/>
        <w:numPr>
          <w:ilvl w:val="0"/>
          <w:numId w:val="34"/>
        </w:numPr>
        <w:jc w:val="both"/>
      </w:pPr>
      <w:r w:rsidRPr="006A22E8">
        <w:t xml:space="preserve">W trakcie prowadzenia robót należy przestrzegać przepisy zawarte w rozporządzeniu Ministra Pracy i Polityki Socjalnej z dnia 26.09.1997 w sprawie "Ogólnych przepisów bezpieczeństwa i higieny pracy" a także wymagania szczególne obowiązujące na terenie inwestora. Przed rozpoczęciem budowy należy sporządzić "Plan bezpieczeństwa </w:t>
      </w:r>
      <w:r w:rsidRPr="006A22E8">
        <w:lastRenderedPageBreak/>
        <w:t xml:space="preserve">i ochrony zdrowia" w celu zapewnienia bezpiecznych warunków pracy chroniących ludzi, środowisko, majątek przed zdarzeniem wypadkowym, urazem, awarią, uszkodzeniem czy chorobą, które mogłyby nastąpić podczas realizacji budowy. </w:t>
      </w:r>
    </w:p>
    <w:p w14:paraId="18CF0858" w14:textId="37523829" w:rsidR="007D3000" w:rsidRPr="006A22E8" w:rsidRDefault="007D3000" w:rsidP="00190E97">
      <w:pPr>
        <w:pStyle w:val="Akapitzlist"/>
        <w:numPr>
          <w:ilvl w:val="0"/>
          <w:numId w:val="34"/>
        </w:numPr>
        <w:jc w:val="both"/>
      </w:pPr>
      <w:r w:rsidRPr="006A22E8">
        <w:t>Przed rozpoczęciem robót należy przeprowadzić szkolenie z przepisów BHP i p</w:t>
      </w:r>
      <w:r w:rsidR="00274E2F">
        <w:t>.</w:t>
      </w:r>
      <w:r w:rsidRPr="006A22E8">
        <w:t>poż, oraz stosowne instruktaże stanowiskowe. Wszelkie szkolenia muszą być potwierdzone własnoręcznym podpisem w Rejestrze Ewidencji Szkoleń. Obowiązek ten dotyczy pracowników zatrudnionych i podwykonawców.</w:t>
      </w:r>
    </w:p>
    <w:p w14:paraId="597FD063" w14:textId="77777777" w:rsidR="007D3000" w:rsidRPr="006A22E8" w:rsidRDefault="007D3000" w:rsidP="00190E97">
      <w:pPr>
        <w:pStyle w:val="Akapitzlist"/>
        <w:numPr>
          <w:ilvl w:val="0"/>
          <w:numId w:val="34"/>
        </w:numPr>
        <w:jc w:val="both"/>
      </w:pPr>
      <w:r w:rsidRPr="006A22E8">
        <w:t>Wszystkie roboty powinny być prowadzone w sposób bezpieczny, pod nadzorem inwestorskim.</w:t>
      </w:r>
    </w:p>
    <w:p w14:paraId="176A5D8E" w14:textId="77777777" w:rsidR="007D3000" w:rsidRPr="006A22E8" w:rsidRDefault="007D3000" w:rsidP="00190E97">
      <w:pPr>
        <w:pStyle w:val="Akapitzlist"/>
        <w:numPr>
          <w:ilvl w:val="0"/>
          <w:numId w:val="34"/>
        </w:numPr>
        <w:jc w:val="both"/>
      </w:pPr>
      <w:r w:rsidRPr="006A22E8">
        <w:t>W trakcie prac w komorze bezwzględnie oba włazy powinny być otwarte.</w:t>
      </w:r>
    </w:p>
    <w:p w14:paraId="6693C02A" w14:textId="77777777" w:rsidR="007D3000" w:rsidRPr="006A22E8" w:rsidRDefault="007D3000" w:rsidP="00190E97">
      <w:pPr>
        <w:pStyle w:val="Akapitzlist"/>
        <w:numPr>
          <w:ilvl w:val="0"/>
          <w:numId w:val="34"/>
        </w:numPr>
        <w:jc w:val="both"/>
      </w:pPr>
      <w:r w:rsidRPr="006A22E8">
        <w:t>Teren budowy ogrodzić i oznakować zgodnie z obowiązującymi przepisami. W dostępnym miejscu umieścić tablice informacyjna budowy zawierające dane inwestora, Wykonawcy, Nadzoru, Jednostki projektowej, a także telefony pogotowia ratunkowego, straży pożarnej i policji.</w:t>
      </w:r>
    </w:p>
    <w:p w14:paraId="4D3FF235" w14:textId="77777777" w:rsidR="007D3000" w:rsidRPr="006A22E8" w:rsidRDefault="007D3000" w:rsidP="00A94F08">
      <w:pPr>
        <w:pStyle w:val="nagwek2ANES"/>
        <w:jc w:val="both"/>
      </w:pPr>
      <w:bookmarkStart w:id="59" w:name="_Toc350425677"/>
      <w:bookmarkStart w:id="60" w:name="_Toc446324620"/>
      <w:bookmarkStart w:id="61" w:name="_Toc148092098"/>
      <w:r w:rsidRPr="006A22E8">
        <w:t>Przepisy związane</w:t>
      </w:r>
      <w:bookmarkEnd w:id="59"/>
      <w:bookmarkEnd w:id="60"/>
      <w:bookmarkEnd w:id="61"/>
    </w:p>
    <w:p w14:paraId="293BCB20" w14:textId="4D35683E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Rozporządzenie Ministra Pracy i Polityki Socjalnej z 28.05.1996 w sprawie rodzajów prac wymagających szczególnej sprawności psychofizycznej (Dz.U. nr 62 poz.287)</w:t>
      </w:r>
      <w:r w:rsidR="00380A0A">
        <w:t>,</w:t>
      </w:r>
    </w:p>
    <w:p w14:paraId="75EC455E" w14:textId="14ED0190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Rozporządzenie Ministra Pracy i Polityki Socjalnej z 28.05.1996 w sprawie rodzajów prac, które powinny być wykonywane przez co najmniej dwie osoby (Dz.U. nr 62 poz.288)</w:t>
      </w:r>
      <w:r w:rsidR="00380A0A">
        <w:t>,</w:t>
      </w:r>
    </w:p>
    <w:p w14:paraId="042E1094" w14:textId="63619CD8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Rozporządzenie Ministra Zdrowia i Opieki Społecznej z 30.05.1996 w sprawie przeprowadzania badań lekarskich pracowników, zakresu profilaktycznej opieki zdrowotnej nad pracownikami oraz orzeczeń lekarskich wydawanych do celów przewidzianych w Kodeksie Pracy (Dz.U. nr 69 poz.332 z późniejszymi zmianami)</w:t>
      </w:r>
      <w:r w:rsidR="00380A0A">
        <w:t>,</w:t>
      </w:r>
    </w:p>
    <w:p w14:paraId="763EA0C1" w14:textId="32CAF8C4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 xml:space="preserve">Rozporządzenie Rady Ministrów z 02.09.1997 w sprawie </w:t>
      </w:r>
      <w:r w:rsidR="00274E2F" w:rsidRPr="006A22E8">
        <w:t>służby</w:t>
      </w:r>
      <w:r w:rsidRPr="006A22E8">
        <w:t xml:space="preserve">  bezpieczeństwa i higieny pracy (Dz.U. nr 109 poz.704)</w:t>
      </w:r>
      <w:r w:rsidR="00380A0A">
        <w:t>,</w:t>
      </w:r>
    </w:p>
    <w:p w14:paraId="5BAA05A5" w14:textId="2FB63911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Rozporządzenie Ministra Pracy i Polityki Socjalnej z 28.05.1996 w sprawie szczegółowych zasad szkolenia w dziedzinie bezpieczeństwa i higieny pracy (Dz.U. nr 62 poz.285)</w:t>
      </w:r>
      <w:r w:rsidR="00380A0A">
        <w:t>,</w:t>
      </w:r>
    </w:p>
    <w:p w14:paraId="24A77CC2" w14:textId="7CB80E0D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Ustawa - Prawo budowlane z 07.07.1994 (Dz.U. nr 89 poz.414 z późniejszymi zmianami)</w:t>
      </w:r>
      <w:r w:rsidR="00380A0A">
        <w:t>,</w:t>
      </w:r>
    </w:p>
    <w:p w14:paraId="4869F4F2" w14:textId="3BFFF080" w:rsidR="007D3000" w:rsidRPr="006A22E8" w:rsidRDefault="007D3000" w:rsidP="00A94F08">
      <w:pPr>
        <w:pStyle w:val="Akapitzlist"/>
        <w:numPr>
          <w:ilvl w:val="0"/>
          <w:numId w:val="33"/>
        </w:numPr>
        <w:jc w:val="both"/>
      </w:pPr>
      <w:r w:rsidRPr="006A22E8">
        <w:t>Rozporządzenie Ministra Pracy i Polityki Socjalnej z 26.09.1997 w sprawie ogólnych przepisów bezpieczeństwa i higieny pracy (Dz.U. nr 129 poz.844 z późniejszymi zmianami)</w:t>
      </w:r>
      <w:r w:rsidR="00380A0A">
        <w:t>,</w:t>
      </w:r>
    </w:p>
    <w:p w14:paraId="021AC43A" w14:textId="6BE76D3B" w:rsidR="00503E65" w:rsidRDefault="007D3000" w:rsidP="00716D4A">
      <w:pPr>
        <w:pStyle w:val="Akapitzlist"/>
        <w:numPr>
          <w:ilvl w:val="0"/>
          <w:numId w:val="33"/>
        </w:numPr>
        <w:jc w:val="both"/>
      </w:pPr>
      <w:r w:rsidRPr="006A22E8">
        <w:lastRenderedPageBreak/>
        <w:t>Rozporządzenie Ministra Gospodarki z 20.09.2001 w sprawie bezpieczeństwa i higieny pracy podczas eksploatacji maszyn i urządzeń technicznych do robót ziemnych, budowlanych i drogowych (Dz.U. nr 118 poz.1263)</w:t>
      </w:r>
      <w:r w:rsidR="00A94F08">
        <w:t>.</w:t>
      </w:r>
    </w:p>
    <w:sectPr w:rsidR="00503E65" w:rsidSect="0061458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9">
      <wne:acd wne:acdName="acd0"/>
    </wne:keymap>
  </wne:keymaps>
  <wne:toolbars>
    <wne:acdManifest>
      <wne:acdEntry wne:acdName="acd0"/>
    </wne:acdManifest>
  </wne:toolbars>
  <wne:acds>
    <wne:acd wne:argValue="AgBOAG8AcgBtAGEAbABuAHkAOwBOAG8AcgBtAGEAbABuAHkAIABBAE4ARQBT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FD3F1" w14:textId="77777777" w:rsidR="00870159" w:rsidRDefault="00870159" w:rsidP="00077EC1">
      <w:pPr>
        <w:spacing w:line="240" w:lineRule="auto"/>
      </w:pPr>
      <w:r>
        <w:separator/>
      </w:r>
    </w:p>
  </w:endnote>
  <w:endnote w:type="continuationSeparator" w:id="0">
    <w:p w14:paraId="1CC9A609" w14:textId="77777777" w:rsidR="00870159" w:rsidRDefault="00870159" w:rsidP="00077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4820"/>
      <w:gridCol w:w="850"/>
      <w:gridCol w:w="851"/>
      <w:gridCol w:w="850"/>
      <w:gridCol w:w="994"/>
    </w:tblGrid>
    <w:tr w:rsidR="00870159" w14:paraId="1ACD7B64" w14:textId="77777777" w:rsidTr="007A6327">
      <w:trPr>
        <w:trHeight w:val="86"/>
      </w:trPr>
      <w:tc>
        <w:tcPr>
          <w:tcW w:w="779" w:type="dxa"/>
          <w:vAlign w:val="center"/>
        </w:tcPr>
        <w:p w14:paraId="2E0C2BA5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0</w:t>
          </w:r>
        </w:p>
      </w:tc>
      <w:tc>
        <w:tcPr>
          <w:tcW w:w="4820" w:type="dxa"/>
          <w:vAlign w:val="center"/>
        </w:tcPr>
        <w:p w14:paraId="23F329CB" w14:textId="77777777" w:rsidR="00870159" w:rsidRPr="00C37DAE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Do PB</w:t>
          </w:r>
        </w:p>
      </w:tc>
      <w:tc>
        <w:tcPr>
          <w:tcW w:w="850" w:type="dxa"/>
          <w:vAlign w:val="center"/>
        </w:tcPr>
        <w:p w14:paraId="429703D9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</w:p>
      </w:tc>
      <w:tc>
        <w:tcPr>
          <w:tcW w:w="851" w:type="dxa"/>
          <w:vAlign w:val="center"/>
        </w:tcPr>
        <w:p w14:paraId="367B7107" w14:textId="60CD0639" w:rsidR="00870159" w:rsidRDefault="001F2355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AS</w:t>
          </w:r>
        </w:p>
      </w:tc>
      <w:tc>
        <w:tcPr>
          <w:tcW w:w="850" w:type="dxa"/>
          <w:vAlign w:val="center"/>
        </w:tcPr>
        <w:p w14:paraId="38ABE12D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</w:p>
      </w:tc>
      <w:tc>
        <w:tcPr>
          <w:tcW w:w="994" w:type="dxa"/>
          <w:vAlign w:val="center"/>
        </w:tcPr>
        <w:p w14:paraId="34EA47B3" w14:textId="4B6BD021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202</w:t>
          </w:r>
          <w:r w:rsidR="001F2355">
            <w:rPr>
              <w:sz w:val="16"/>
            </w:rPr>
            <w:t>3-10</w:t>
          </w:r>
        </w:p>
      </w:tc>
    </w:tr>
    <w:tr w:rsidR="00870159" w14:paraId="39A94401" w14:textId="77777777" w:rsidTr="007A6327">
      <w:trPr>
        <w:trHeight w:val="70"/>
      </w:trPr>
      <w:tc>
        <w:tcPr>
          <w:tcW w:w="779" w:type="dxa"/>
          <w:vAlign w:val="center"/>
        </w:tcPr>
        <w:p w14:paraId="58036B3E" w14:textId="77777777" w:rsidR="00870159" w:rsidRDefault="00870159" w:rsidP="00077EC1">
          <w:pPr>
            <w:pStyle w:val="Stopka"/>
            <w:spacing w:line="276" w:lineRule="auto"/>
            <w:ind w:right="-70"/>
            <w:jc w:val="center"/>
            <w:rPr>
              <w:sz w:val="16"/>
            </w:rPr>
          </w:pPr>
          <w:r>
            <w:rPr>
              <w:sz w:val="16"/>
            </w:rPr>
            <w:t>Rew.</w:t>
          </w:r>
        </w:p>
      </w:tc>
      <w:tc>
        <w:tcPr>
          <w:tcW w:w="4820" w:type="dxa"/>
          <w:vAlign w:val="center"/>
        </w:tcPr>
        <w:p w14:paraId="1636010B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Opis</w:t>
          </w:r>
        </w:p>
      </w:tc>
      <w:tc>
        <w:tcPr>
          <w:tcW w:w="850" w:type="dxa"/>
          <w:vAlign w:val="center"/>
        </w:tcPr>
        <w:p w14:paraId="30D2BC78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Opr.</w:t>
          </w:r>
        </w:p>
      </w:tc>
      <w:tc>
        <w:tcPr>
          <w:tcW w:w="851" w:type="dxa"/>
          <w:vAlign w:val="center"/>
        </w:tcPr>
        <w:p w14:paraId="1F950749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Proj.</w:t>
          </w:r>
        </w:p>
      </w:tc>
      <w:tc>
        <w:tcPr>
          <w:tcW w:w="850" w:type="dxa"/>
          <w:vAlign w:val="center"/>
        </w:tcPr>
        <w:p w14:paraId="33453E22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Spr</w:t>
          </w:r>
          <w:proofErr w:type="spellEnd"/>
          <w:r>
            <w:rPr>
              <w:sz w:val="16"/>
            </w:rPr>
            <w:t>.</w:t>
          </w:r>
        </w:p>
      </w:tc>
      <w:tc>
        <w:tcPr>
          <w:tcW w:w="994" w:type="dxa"/>
          <w:vAlign w:val="center"/>
        </w:tcPr>
        <w:p w14:paraId="026D6430" w14:textId="77777777" w:rsidR="00870159" w:rsidRDefault="00870159" w:rsidP="00077EC1">
          <w:pPr>
            <w:pStyle w:val="Stopka"/>
            <w:spacing w:line="276" w:lineRule="auto"/>
            <w:jc w:val="center"/>
            <w:rPr>
              <w:sz w:val="16"/>
            </w:rPr>
          </w:pPr>
          <w:r>
            <w:rPr>
              <w:sz w:val="16"/>
            </w:rPr>
            <w:t>Data</w:t>
          </w:r>
        </w:p>
      </w:tc>
    </w:tr>
  </w:tbl>
  <w:p w14:paraId="2DA2A78B" w14:textId="77777777" w:rsidR="00870159" w:rsidRDefault="00870159" w:rsidP="00077EC1">
    <w:pPr>
      <w:pStyle w:val="Stopka"/>
      <w:ind w:right="-285" w:hanging="142"/>
      <w:jc w:val="center"/>
      <w:rPr>
        <w:sz w:val="12"/>
      </w:rPr>
    </w:pPr>
    <w:r>
      <w:rPr>
        <w:sz w:val="12"/>
      </w:rPr>
      <w:t>Niniejszy dokument jest własnością ZUP ANES i nie może być bez pisemnej zgody kopiowany ani udostępniany stronie trzeciej dla celów innych niż opisane w umowie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B84D5" w14:textId="77777777" w:rsidR="00870159" w:rsidRDefault="00870159" w:rsidP="00077EC1">
      <w:pPr>
        <w:spacing w:line="240" w:lineRule="auto"/>
      </w:pPr>
      <w:r>
        <w:separator/>
      </w:r>
    </w:p>
  </w:footnote>
  <w:footnote w:type="continuationSeparator" w:id="0">
    <w:p w14:paraId="22589781" w14:textId="77777777" w:rsidR="00870159" w:rsidRDefault="00870159" w:rsidP="00077E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4"/>
      <w:gridCol w:w="4819"/>
      <w:gridCol w:w="851"/>
      <w:gridCol w:w="851"/>
    </w:tblGrid>
    <w:tr w:rsidR="00870159" w14:paraId="75034D56" w14:textId="77777777" w:rsidTr="007A6327">
      <w:trPr>
        <w:cantSplit/>
        <w:trHeight w:val="265"/>
      </w:trPr>
      <w:tc>
        <w:tcPr>
          <w:tcW w:w="2694" w:type="dxa"/>
          <w:tcBorders>
            <w:top w:val="single" w:sz="6" w:space="0" w:color="auto"/>
            <w:left w:val="single" w:sz="6" w:space="0" w:color="auto"/>
            <w:bottom w:val="nil"/>
            <w:right w:val="single" w:sz="4" w:space="0" w:color="auto"/>
          </w:tcBorders>
        </w:tcPr>
        <w:p w14:paraId="671077BB" w14:textId="77777777" w:rsidR="00870159" w:rsidRDefault="00870159" w:rsidP="00077EC1">
          <w:pPr>
            <w:pStyle w:val="Nagwek"/>
            <w:spacing w:before="60"/>
            <w:jc w:val="center"/>
            <w:rPr>
              <w:sz w:val="16"/>
            </w:rPr>
          </w:pPr>
          <w:r>
            <w:rPr>
              <w:sz w:val="16"/>
            </w:rPr>
            <w:t>Zakład Usługowo-Projektowy</w:t>
          </w:r>
        </w:p>
      </w:tc>
      <w:tc>
        <w:tcPr>
          <w:tcW w:w="4819" w:type="dxa"/>
          <w:vMerge w:val="restart"/>
          <w:tcBorders>
            <w:top w:val="single" w:sz="6" w:space="0" w:color="auto"/>
            <w:left w:val="nil"/>
            <w:bottom w:val="single" w:sz="4" w:space="0" w:color="auto"/>
            <w:right w:val="nil"/>
          </w:tcBorders>
        </w:tcPr>
        <w:p w14:paraId="7DCE2B07" w14:textId="12C5977D" w:rsidR="00870159" w:rsidRPr="00A0782B" w:rsidRDefault="00870159" w:rsidP="00077EC1">
          <w:pPr>
            <w:pStyle w:val="Nagwek"/>
            <w:spacing w:before="120"/>
            <w:jc w:val="center"/>
            <w:rPr>
              <w:b/>
              <w:szCs w:val="22"/>
            </w:rPr>
          </w:pPr>
          <w:r w:rsidRPr="00A0782B">
            <w:rPr>
              <w:b/>
              <w:szCs w:val="22"/>
            </w:rPr>
            <w:t>Komora K-</w:t>
          </w:r>
          <w:r w:rsidR="001F2355">
            <w:rPr>
              <w:b/>
              <w:szCs w:val="22"/>
            </w:rPr>
            <w:t>705</w:t>
          </w:r>
          <w:r w:rsidRPr="00A0782B">
            <w:rPr>
              <w:b/>
              <w:szCs w:val="22"/>
            </w:rPr>
            <w:t xml:space="preserve"> </w:t>
          </w:r>
          <w:r w:rsidR="0019424A">
            <w:rPr>
              <w:b/>
              <w:szCs w:val="22"/>
            </w:rPr>
            <w:t xml:space="preserve">os. </w:t>
          </w:r>
          <w:proofErr w:type="spellStart"/>
          <w:r w:rsidR="0019424A">
            <w:rPr>
              <w:b/>
              <w:szCs w:val="22"/>
            </w:rPr>
            <w:t>Retkinia</w:t>
          </w:r>
          <w:proofErr w:type="spellEnd"/>
          <w:r w:rsidR="0019424A">
            <w:rPr>
              <w:b/>
              <w:szCs w:val="22"/>
            </w:rPr>
            <w:t xml:space="preserve"> - Sympatyczna</w:t>
          </w:r>
        </w:p>
      </w:tc>
      <w:tc>
        <w:tcPr>
          <w:tcW w:w="851" w:type="dxa"/>
          <w:tcBorders>
            <w:top w:val="single" w:sz="6" w:space="0" w:color="auto"/>
            <w:left w:val="single" w:sz="4" w:space="0" w:color="auto"/>
            <w:bottom w:val="nil"/>
            <w:right w:val="nil"/>
          </w:tcBorders>
        </w:tcPr>
        <w:p w14:paraId="6955B389" w14:textId="77777777" w:rsidR="00870159" w:rsidRDefault="00870159" w:rsidP="00077EC1">
          <w:pPr>
            <w:pStyle w:val="Nagwek"/>
            <w:spacing w:before="40"/>
          </w:pPr>
          <w:proofErr w:type="spellStart"/>
          <w:r>
            <w:t>str</w:t>
          </w:r>
          <w:proofErr w:type="spellEnd"/>
          <w:r>
            <w:t xml:space="preserve">/z </w:t>
          </w:r>
        </w:p>
      </w:tc>
      <w:tc>
        <w:tcPr>
          <w:tcW w:w="851" w:type="dxa"/>
          <w:tcBorders>
            <w:top w:val="single" w:sz="6" w:space="0" w:color="auto"/>
            <w:left w:val="nil"/>
            <w:bottom w:val="nil"/>
            <w:right w:val="single" w:sz="6" w:space="0" w:color="auto"/>
          </w:tcBorders>
        </w:tcPr>
        <w:p w14:paraId="17D582B0" w14:textId="50DA5056" w:rsidR="00870159" w:rsidRDefault="00870159" w:rsidP="00077EC1">
          <w:pPr>
            <w:pStyle w:val="Nagwek"/>
            <w:jc w:val="center"/>
          </w:pP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6</w:t>
          </w:r>
          <w:r>
            <w:rPr>
              <w:rStyle w:val="Numerstrony"/>
            </w:rPr>
            <w:fldChar w:fldCharType="end"/>
          </w:r>
          <w:r>
            <w:t>/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12</w:t>
          </w:r>
          <w:r>
            <w:rPr>
              <w:rStyle w:val="Numerstrony"/>
            </w:rPr>
            <w:fldChar w:fldCharType="end"/>
          </w:r>
        </w:p>
      </w:tc>
    </w:tr>
    <w:tr w:rsidR="00870159" w14:paraId="61368582" w14:textId="77777777" w:rsidTr="007A6327">
      <w:trPr>
        <w:cantSplit/>
      </w:trPr>
      <w:tc>
        <w:tcPr>
          <w:tcW w:w="2694" w:type="dxa"/>
          <w:vMerge w:val="restart"/>
          <w:tcBorders>
            <w:top w:val="nil"/>
            <w:left w:val="single" w:sz="6" w:space="0" w:color="auto"/>
            <w:bottom w:val="nil"/>
            <w:right w:val="single" w:sz="4" w:space="0" w:color="auto"/>
          </w:tcBorders>
        </w:tcPr>
        <w:p w14:paraId="1ABACD50" w14:textId="77777777" w:rsidR="00870159" w:rsidRDefault="006C2063" w:rsidP="00077EC1">
          <w:pPr>
            <w:pStyle w:val="Nagwek"/>
            <w:spacing w:after="60"/>
            <w:jc w:val="center"/>
            <w:rPr>
              <w:sz w:val="36"/>
            </w:rPr>
          </w:pPr>
          <w:r>
            <w:rPr>
              <w:noProof/>
              <w:sz w:val="36"/>
            </w:rPr>
            <w:object w:dxaOrig="1440" w:dyaOrig="1440" w14:anchorId="6D805A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0.7pt;margin-top:2.9pt;width:108pt;height:27pt;z-index:251659264;visibility:visible;mso-wrap-edited:f;mso-position-horizontal-relative:text;mso-position-vertical-relative:text">
                <v:imagedata r:id="rId1" o:title=""/>
              </v:shape>
              <o:OLEObject Type="Embed" ProgID="Word.Picture.8" ShapeID="_x0000_s2049" DrawAspect="Content" ObjectID="_1758704857" r:id="rId2"/>
            </w:object>
          </w:r>
        </w:p>
      </w:tc>
      <w:tc>
        <w:tcPr>
          <w:tcW w:w="4819" w:type="dxa"/>
          <w:vMerge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0B632D4A" w14:textId="77777777" w:rsidR="00870159" w:rsidRPr="00A0782B" w:rsidRDefault="00870159" w:rsidP="00077EC1">
          <w:pPr>
            <w:pStyle w:val="Nagwek"/>
            <w:jc w:val="center"/>
            <w:rPr>
              <w:b/>
              <w:szCs w:val="22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14:paraId="76CD1E56" w14:textId="77777777" w:rsidR="00870159" w:rsidRDefault="00870159" w:rsidP="00077EC1">
          <w:pPr>
            <w:pStyle w:val="Nagwek"/>
            <w:spacing w:before="40"/>
          </w:pPr>
          <w:r>
            <w:t xml:space="preserve">rew. 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nil"/>
            <w:right w:val="single" w:sz="6" w:space="0" w:color="auto"/>
          </w:tcBorders>
        </w:tcPr>
        <w:p w14:paraId="3611BAC2" w14:textId="77777777" w:rsidR="00870159" w:rsidRDefault="00870159" w:rsidP="00077EC1">
          <w:pPr>
            <w:pStyle w:val="Nagwek"/>
            <w:jc w:val="center"/>
          </w:pPr>
          <w:r>
            <w:t>0</w:t>
          </w:r>
        </w:p>
      </w:tc>
    </w:tr>
    <w:tr w:rsidR="00870159" w14:paraId="73F97915" w14:textId="77777777" w:rsidTr="007A6327">
      <w:trPr>
        <w:cantSplit/>
        <w:trHeight w:val="213"/>
      </w:trPr>
      <w:tc>
        <w:tcPr>
          <w:tcW w:w="2694" w:type="dxa"/>
          <w:vMerge/>
          <w:tcBorders>
            <w:top w:val="nil"/>
            <w:left w:val="single" w:sz="6" w:space="0" w:color="auto"/>
            <w:bottom w:val="nil"/>
            <w:right w:val="single" w:sz="4" w:space="0" w:color="auto"/>
          </w:tcBorders>
        </w:tcPr>
        <w:p w14:paraId="03ACAEB0" w14:textId="77777777" w:rsidR="00870159" w:rsidRDefault="00870159" w:rsidP="00077EC1">
          <w:pPr>
            <w:pStyle w:val="Nagwek"/>
            <w:jc w:val="center"/>
          </w:pPr>
        </w:p>
      </w:tc>
      <w:tc>
        <w:tcPr>
          <w:tcW w:w="4819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12B63CFA" w14:textId="2CBF457F" w:rsidR="00870159" w:rsidRPr="00A0782B" w:rsidRDefault="001F2355" w:rsidP="00077EC1">
          <w:pPr>
            <w:pStyle w:val="Nagwek"/>
            <w:spacing w:before="120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PT podpór tymczasowych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744E0EA5" w14:textId="77777777" w:rsidR="00870159" w:rsidRDefault="00870159" w:rsidP="00077EC1">
          <w:pPr>
            <w:pStyle w:val="Nagwek"/>
            <w:spacing w:before="40"/>
          </w:pPr>
          <w:r>
            <w:t>nr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6" w:space="0" w:color="auto"/>
          </w:tcBorders>
        </w:tcPr>
        <w:p w14:paraId="7194C93F" w14:textId="77777777" w:rsidR="00870159" w:rsidRDefault="00870159" w:rsidP="00077EC1">
          <w:pPr>
            <w:pStyle w:val="Nagwek"/>
            <w:spacing w:before="40"/>
            <w:jc w:val="center"/>
          </w:pPr>
          <w:r>
            <w:t>01</w:t>
          </w:r>
        </w:p>
      </w:tc>
    </w:tr>
    <w:tr w:rsidR="00870159" w14:paraId="6290C820" w14:textId="77777777" w:rsidTr="007A6327">
      <w:trPr>
        <w:cantSplit/>
      </w:trPr>
      <w:tc>
        <w:tcPr>
          <w:tcW w:w="2694" w:type="dxa"/>
          <w:tcBorders>
            <w:top w:val="nil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14:paraId="44A71CEE" w14:textId="6EC58F08" w:rsidR="00870159" w:rsidRDefault="00870159" w:rsidP="00077EC1">
          <w:pPr>
            <w:pStyle w:val="Nagwek"/>
            <w:spacing w:before="60"/>
            <w:jc w:val="center"/>
            <w:rPr>
              <w:sz w:val="16"/>
            </w:rPr>
          </w:pPr>
          <w:r>
            <w:rPr>
              <w:sz w:val="16"/>
            </w:rPr>
            <w:t>93-412 Łódź, ul.</w:t>
          </w:r>
          <w:r w:rsidR="00241208">
            <w:rPr>
              <w:sz w:val="16"/>
            </w:rPr>
            <w:t xml:space="preserve"> </w:t>
          </w:r>
          <w:r>
            <w:rPr>
              <w:sz w:val="16"/>
            </w:rPr>
            <w:t>Barwna 12</w:t>
          </w:r>
        </w:p>
      </w:tc>
      <w:tc>
        <w:tcPr>
          <w:tcW w:w="4819" w:type="dxa"/>
          <w:vMerge/>
          <w:tcBorders>
            <w:left w:val="nil"/>
            <w:bottom w:val="single" w:sz="6" w:space="0" w:color="auto"/>
            <w:right w:val="nil"/>
          </w:tcBorders>
        </w:tcPr>
        <w:p w14:paraId="5A0DAB81" w14:textId="77777777" w:rsidR="00870159" w:rsidRDefault="00870159" w:rsidP="00077EC1">
          <w:pPr>
            <w:pStyle w:val="Nagwek"/>
          </w:pPr>
        </w:p>
      </w:tc>
      <w:tc>
        <w:tcPr>
          <w:tcW w:w="851" w:type="dxa"/>
          <w:tcBorders>
            <w:top w:val="nil"/>
            <w:left w:val="single" w:sz="4" w:space="0" w:color="auto"/>
            <w:bottom w:val="single" w:sz="6" w:space="0" w:color="auto"/>
            <w:right w:val="nil"/>
          </w:tcBorders>
        </w:tcPr>
        <w:p w14:paraId="597953EC" w14:textId="77777777" w:rsidR="00870159" w:rsidRDefault="00870159" w:rsidP="00077EC1">
          <w:pPr>
            <w:pStyle w:val="Nagwek"/>
          </w:pPr>
          <w:r>
            <w:rPr>
              <w:rStyle w:val="Numerstrony"/>
            </w:rPr>
            <w:t>projekt</w:t>
          </w:r>
        </w:p>
      </w:tc>
      <w:tc>
        <w:tcPr>
          <w:tcW w:w="851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</w:tcPr>
        <w:p w14:paraId="1E955955" w14:textId="4951D9D7" w:rsidR="00870159" w:rsidRDefault="00870159" w:rsidP="005B2E75">
          <w:pPr>
            <w:pStyle w:val="Nagwek"/>
            <w:jc w:val="center"/>
          </w:pPr>
          <w:r>
            <w:t>16</w:t>
          </w:r>
          <w:r w:rsidR="001F2355">
            <w:t>99</w:t>
          </w:r>
        </w:p>
      </w:tc>
    </w:tr>
  </w:tbl>
  <w:p w14:paraId="675A60F1" w14:textId="77777777" w:rsidR="00870159" w:rsidRDefault="00870159" w:rsidP="00113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14E2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C8E8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E202C3"/>
    <w:multiLevelType w:val="hybridMultilevel"/>
    <w:tmpl w:val="4D90E67A"/>
    <w:lvl w:ilvl="0" w:tplc="0F3E1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97025"/>
    <w:multiLevelType w:val="multilevel"/>
    <w:tmpl w:val="031EF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526AAD"/>
    <w:multiLevelType w:val="hybridMultilevel"/>
    <w:tmpl w:val="5DF05016"/>
    <w:lvl w:ilvl="0" w:tplc="CC9859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2029"/>
    <w:multiLevelType w:val="multilevel"/>
    <w:tmpl w:val="66AC64FA"/>
    <w:lvl w:ilvl="0">
      <w:start w:val="1"/>
      <w:numFmt w:val="decimal"/>
      <w:pStyle w:val="nagwek1ANES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ANES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ANES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ANES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61149CC"/>
    <w:multiLevelType w:val="hybridMultilevel"/>
    <w:tmpl w:val="A04C22D8"/>
    <w:lvl w:ilvl="0" w:tplc="0F3E1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9B5"/>
    <w:multiLevelType w:val="hybridMultilevel"/>
    <w:tmpl w:val="C24ECC98"/>
    <w:lvl w:ilvl="0" w:tplc="78D02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C5FDF"/>
    <w:multiLevelType w:val="hybridMultilevel"/>
    <w:tmpl w:val="4F20DD7A"/>
    <w:lvl w:ilvl="0" w:tplc="FA2860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2A4B"/>
    <w:multiLevelType w:val="hybridMultilevel"/>
    <w:tmpl w:val="EBB643B0"/>
    <w:lvl w:ilvl="0" w:tplc="43D470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96D6C"/>
    <w:multiLevelType w:val="hybridMultilevel"/>
    <w:tmpl w:val="2318AAF8"/>
    <w:lvl w:ilvl="0" w:tplc="E0305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61B2E"/>
    <w:multiLevelType w:val="multilevel"/>
    <w:tmpl w:val="61965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FD1BEA"/>
    <w:multiLevelType w:val="hybridMultilevel"/>
    <w:tmpl w:val="821CD158"/>
    <w:lvl w:ilvl="0" w:tplc="A77E0376">
      <w:start w:val="1"/>
      <w:numFmt w:val="bullet"/>
      <w:pStyle w:val="punktowanieANES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6643E"/>
    <w:multiLevelType w:val="singleLevel"/>
    <w:tmpl w:val="842021D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4B4552C7"/>
    <w:multiLevelType w:val="multilevel"/>
    <w:tmpl w:val="3F040A0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2641918"/>
    <w:multiLevelType w:val="hybridMultilevel"/>
    <w:tmpl w:val="A3904B26"/>
    <w:lvl w:ilvl="0" w:tplc="0F3E197A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54A45817"/>
    <w:multiLevelType w:val="hybridMultilevel"/>
    <w:tmpl w:val="602039D6"/>
    <w:lvl w:ilvl="0" w:tplc="0F3E197A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 w15:restartNumberingAfterBreak="0">
    <w:nsid w:val="58AF6779"/>
    <w:multiLevelType w:val="hybridMultilevel"/>
    <w:tmpl w:val="22AA58A0"/>
    <w:lvl w:ilvl="0" w:tplc="0F3E1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A4744"/>
    <w:multiLevelType w:val="multilevel"/>
    <w:tmpl w:val="431ACA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AAE0497"/>
    <w:multiLevelType w:val="hybridMultilevel"/>
    <w:tmpl w:val="BF5E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00C00"/>
    <w:multiLevelType w:val="multilevel"/>
    <w:tmpl w:val="9ADE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Cs/>
        <w:iCs w:val="0"/>
        <w:dstrike w:val="0"/>
        <w:color w:val="000000"/>
        <w:spacing w:val="0"/>
        <w:w w:val="100"/>
        <w:kern w:val="0"/>
        <w:position w:val="0"/>
        <w:sz w:val="24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962064"/>
    <w:multiLevelType w:val="hybridMultilevel"/>
    <w:tmpl w:val="C07E5A34"/>
    <w:lvl w:ilvl="0" w:tplc="0F3E1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03DBD"/>
    <w:multiLevelType w:val="singleLevel"/>
    <w:tmpl w:val="5F8039CC"/>
    <w:lvl w:ilvl="0">
      <w:start w:val="1"/>
      <w:numFmt w:val="bullet"/>
      <w:lvlText w:val="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  <w:sz w:val="16"/>
      </w:rPr>
    </w:lvl>
  </w:abstractNum>
  <w:abstractNum w:abstractNumId="23" w15:restartNumberingAfterBreak="0">
    <w:nsid w:val="6D8A1703"/>
    <w:multiLevelType w:val="multilevel"/>
    <w:tmpl w:val="682858F6"/>
    <w:lvl w:ilvl="0">
      <w:start w:val="1"/>
      <w:numFmt w:val="decimal"/>
      <w:pStyle w:val="Nagwek1-ANES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0792EA5"/>
    <w:multiLevelType w:val="hybridMultilevel"/>
    <w:tmpl w:val="38D6B69E"/>
    <w:lvl w:ilvl="0" w:tplc="68505C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6252B9"/>
    <w:multiLevelType w:val="multilevel"/>
    <w:tmpl w:val="7D886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-ANES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904AD1"/>
    <w:multiLevelType w:val="hybridMultilevel"/>
    <w:tmpl w:val="FF227332"/>
    <w:lvl w:ilvl="0" w:tplc="0F3E197A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4"/>
  </w:num>
  <w:num w:numId="4">
    <w:abstractNumId w:val="22"/>
  </w:num>
  <w:num w:numId="5">
    <w:abstractNumId w:val="23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"/>
  </w:num>
  <w:num w:numId="12">
    <w:abstractNumId w:val="0"/>
  </w:num>
  <w:num w:numId="13">
    <w:abstractNumId w:val="23"/>
  </w:num>
  <w:num w:numId="14">
    <w:abstractNumId w:val="14"/>
  </w:num>
  <w:num w:numId="15">
    <w:abstractNumId w:val="25"/>
  </w:num>
  <w:num w:numId="16">
    <w:abstractNumId w:val="22"/>
  </w:num>
  <w:num w:numId="17">
    <w:abstractNumId w:val="10"/>
  </w:num>
  <w:num w:numId="18">
    <w:abstractNumId w:val="13"/>
  </w:num>
  <w:num w:numId="19">
    <w:abstractNumId w:val="18"/>
  </w:num>
  <w:num w:numId="20">
    <w:abstractNumId w:val="18"/>
  </w:num>
  <w:num w:numId="21">
    <w:abstractNumId w:val="20"/>
  </w:num>
  <w:num w:numId="22">
    <w:abstractNumId w:val="23"/>
  </w:num>
  <w:num w:numId="23">
    <w:abstractNumId w:val="5"/>
  </w:num>
  <w:num w:numId="24">
    <w:abstractNumId w:val="5"/>
  </w:num>
  <w:num w:numId="25">
    <w:abstractNumId w:val="7"/>
  </w:num>
  <w:num w:numId="26">
    <w:abstractNumId w:val="8"/>
  </w:num>
  <w:num w:numId="27">
    <w:abstractNumId w:val="4"/>
  </w:num>
  <w:num w:numId="28">
    <w:abstractNumId w:val="3"/>
  </w:num>
  <w:num w:numId="29">
    <w:abstractNumId w:val="19"/>
  </w:num>
  <w:num w:numId="30">
    <w:abstractNumId w:val="9"/>
  </w:num>
  <w:num w:numId="31">
    <w:abstractNumId w:val="11"/>
  </w:num>
  <w:num w:numId="32">
    <w:abstractNumId w:val="24"/>
  </w:num>
  <w:num w:numId="33">
    <w:abstractNumId w:val="21"/>
  </w:num>
  <w:num w:numId="34">
    <w:abstractNumId w:val="6"/>
  </w:num>
  <w:num w:numId="35">
    <w:abstractNumId w:val="2"/>
  </w:num>
  <w:num w:numId="36">
    <w:abstractNumId w:val="12"/>
  </w:num>
  <w:num w:numId="37">
    <w:abstractNumId w:val="15"/>
  </w:num>
  <w:num w:numId="38">
    <w:abstractNumId w:val="17"/>
  </w:num>
  <w:num w:numId="39">
    <w:abstractNumId w:val="26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4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B4C"/>
    <w:rsid w:val="0000620D"/>
    <w:rsid w:val="00012850"/>
    <w:rsid w:val="000155D2"/>
    <w:rsid w:val="000263CF"/>
    <w:rsid w:val="000352D4"/>
    <w:rsid w:val="00054B75"/>
    <w:rsid w:val="00061EF3"/>
    <w:rsid w:val="00072D6B"/>
    <w:rsid w:val="00077EC1"/>
    <w:rsid w:val="000A0572"/>
    <w:rsid w:val="000A7CF3"/>
    <w:rsid w:val="000B3BE4"/>
    <w:rsid w:val="000F6A66"/>
    <w:rsid w:val="001138F1"/>
    <w:rsid w:val="00113CFD"/>
    <w:rsid w:val="00115BCA"/>
    <w:rsid w:val="001343B4"/>
    <w:rsid w:val="00160A68"/>
    <w:rsid w:val="001678EE"/>
    <w:rsid w:val="001705D2"/>
    <w:rsid w:val="001771FD"/>
    <w:rsid w:val="001909C7"/>
    <w:rsid w:val="00190E97"/>
    <w:rsid w:val="0019424A"/>
    <w:rsid w:val="001A75D8"/>
    <w:rsid w:val="001B19FA"/>
    <w:rsid w:val="001B3DCD"/>
    <w:rsid w:val="001B7D46"/>
    <w:rsid w:val="001C36E8"/>
    <w:rsid w:val="001D10DA"/>
    <w:rsid w:val="001D1ABA"/>
    <w:rsid w:val="001D2700"/>
    <w:rsid w:val="001E6E38"/>
    <w:rsid w:val="001F2355"/>
    <w:rsid w:val="002316E5"/>
    <w:rsid w:val="00241208"/>
    <w:rsid w:val="002445D1"/>
    <w:rsid w:val="0025226E"/>
    <w:rsid w:val="00261CB4"/>
    <w:rsid w:val="00274E2F"/>
    <w:rsid w:val="00275993"/>
    <w:rsid w:val="002971B9"/>
    <w:rsid w:val="00297650"/>
    <w:rsid w:val="002C520E"/>
    <w:rsid w:val="002E3D6C"/>
    <w:rsid w:val="002F23A6"/>
    <w:rsid w:val="00301029"/>
    <w:rsid w:val="003018BD"/>
    <w:rsid w:val="0033097D"/>
    <w:rsid w:val="003409CD"/>
    <w:rsid w:val="00360FBC"/>
    <w:rsid w:val="00375B26"/>
    <w:rsid w:val="00380A0A"/>
    <w:rsid w:val="003C3FD7"/>
    <w:rsid w:val="003D22B1"/>
    <w:rsid w:val="003D7E1D"/>
    <w:rsid w:val="004116FA"/>
    <w:rsid w:val="0042589C"/>
    <w:rsid w:val="00435AB1"/>
    <w:rsid w:val="0044479C"/>
    <w:rsid w:val="00451F19"/>
    <w:rsid w:val="00462ECB"/>
    <w:rsid w:val="004A48C5"/>
    <w:rsid w:val="004A66F6"/>
    <w:rsid w:val="004C5839"/>
    <w:rsid w:val="004D71A6"/>
    <w:rsid w:val="004E1844"/>
    <w:rsid w:val="00503E65"/>
    <w:rsid w:val="00504E4B"/>
    <w:rsid w:val="005070D1"/>
    <w:rsid w:val="0051747F"/>
    <w:rsid w:val="00517841"/>
    <w:rsid w:val="005254D0"/>
    <w:rsid w:val="00560B83"/>
    <w:rsid w:val="005709CF"/>
    <w:rsid w:val="0058250B"/>
    <w:rsid w:val="00586305"/>
    <w:rsid w:val="005975AD"/>
    <w:rsid w:val="005A5F35"/>
    <w:rsid w:val="005B2E75"/>
    <w:rsid w:val="005B6A61"/>
    <w:rsid w:val="005B6EF4"/>
    <w:rsid w:val="005C0B42"/>
    <w:rsid w:val="005C1E9C"/>
    <w:rsid w:val="005C7E18"/>
    <w:rsid w:val="005D2058"/>
    <w:rsid w:val="005E1A34"/>
    <w:rsid w:val="005E5D3B"/>
    <w:rsid w:val="00610A8F"/>
    <w:rsid w:val="006114B4"/>
    <w:rsid w:val="00613EAC"/>
    <w:rsid w:val="00614580"/>
    <w:rsid w:val="00614C9B"/>
    <w:rsid w:val="006176D3"/>
    <w:rsid w:val="00620C3B"/>
    <w:rsid w:val="00640C8B"/>
    <w:rsid w:val="006509EC"/>
    <w:rsid w:val="00651230"/>
    <w:rsid w:val="006830ED"/>
    <w:rsid w:val="00687EC5"/>
    <w:rsid w:val="006A22E8"/>
    <w:rsid w:val="006B7CE0"/>
    <w:rsid w:val="006C2063"/>
    <w:rsid w:val="006C5359"/>
    <w:rsid w:val="006F078C"/>
    <w:rsid w:val="006F2AF6"/>
    <w:rsid w:val="006F6A72"/>
    <w:rsid w:val="0070320A"/>
    <w:rsid w:val="00711216"/>
    <w:rsid w:val="00716D4A"/>
    <w:rsid w:val="0072083C"/>
    <w:rsid w:val="00743B36"/>
    <w:rsid w:val="007440C6"/>
    <w:rsid w:val="007524E0"/>
    <w:rsid w:val="007527B8"/>
    <w:rsid w:val="00757A4F"/>
    <w:rsid w:val="007A1234"/>
    <w:rsid w:val="007A6327"/>
    <w:rsid w:val="007C3E39"/>
    <w:rsid w:val="007D3000"/>
    <w:rsid w:val="007D3F5E"/>
    <w:rsid w:val="007F436F"/>
    <w:rsid w:val="008303E8"/>
    <w:rsid w:val="0085038C"/>
    <w:rsid w:val="00863F8E"/>
    <w:rsid w:val="00870159"/>
    <w:rsid w:val="0087015E"/>
    <w:rsid w:val="008726A3"/>
    <w:rsid w:val="0087490E"/>
    <w:rsid w:val="00882F04"/>
    <w:rsid w:val="008B2917"/>
    <w:rsid w:val="008B4679"/>
    <w:rsid w:val="008E4B34"/>
    <w:rsid w:val="008E5AF0"/>
    <w:rsid w:val="008F41A1"/>
    <w:rsid w:val="00935B07"/>
    <w:rsid w:val="00953BE2"/>
    <w:rsid w:val="0096077C"/>
    <w:rsid w:val="00970148"/>
    <w:rsid w:val="009726D9"/>
    <w:rsid w:val="009803F3"/>
    <w:rsid w:val="009A2835"/>
    <w:rsid w:val="009B3E95"/>
    <w:rsid w:val="009C0941"/>
    <w:rsid w:val="009D4FBE"/>
    <w:rsid w:val="009E249C"/>
    <w:rsid w:val="00A01478"/>
    <w:rsid w:val="00A0782B"/>
    <w:rsid w:val="00A1417D"/>
    <w:rsid w:val="00A25191"/>
    <w:rsid w:val="00A2708E"/>
    <w:rsid w:val="00A52307"/>
    <w:rsid w:val="00A75FAA"/>
    <w:rsid w:val="00A831B1"/>
    <w:rsid w:val="00A85939"/>
    <w:rsid w:val="00A9208D"/>
    <w:rsid w:val="00A94F08"/>
    <w:rsid w:val="00AB1185"/>
    <w:rsid w:val="00AB38CF"/>
    <w:rsid w:val="00AE3EC6"/>
    <w:rsid w:val="00B10CAE"/>
    <w:rsid w:val="00B1293D"/>
    <w:rsid w:val="00B201EF"/>
    <w:rsid w:val="00B25AC2"/>
    <w:rsid w:val="00B3732B"/>
    <w:rsid w:val="00B72D56"/>
    <w:rsid w:val="00B7441C"/>
    <w:rsid w:val="00B75BAE"/>
    <w:rsid w:val="00B77FF5"/>
    <w:rsid w:val="00B80797"/>
    <w:rsid w:val="00B82DB5"/>
    <w:rsid w:val="00B84B39"/>
    <w:rsid w:val="00BB35D0"/>
    <w:rsid w:val="00BB3909"/>
    <w:rsid w:val="00BD0B51"/>
    <w:rsid w:val="00BD614D"/>
    <w:rsid w:val="00C05B4C"/>
    <w:rsid w:val="00C17470"/>
    <w:rsid w:val="00C3617A"/>
    <w:rsid w:val="00C457FA"/>
    <w:rsid w:val="00C563FE"/>
    <w:rsid w:val="00C60908"/>
    <w:rsid w:val="00C654E1"/>
    <w:rsid w:val="00C7325B"/>
    <w:rsid w:val="00C77E70"/>
    <w:rsid w:val="00C939F8"/>
    <w:rsid w:val="00C95145"/>
    <w:rsid w:val="00CA7410"/>
    <w:rsid w:val="00CC1289"/>
    <w:rsid w:val="00CF339F"/>
    <w:rsid w:val="00D40838"/>
    <w:rsid w:val="00D42692"/>
    <w:rsid w:val="00D51042"/>
    <w:rsid w:val="00D56CD1"/>
    <w:rsid w:val="00D60A52"/>
    <w:rsid w:val="00D86F1C"/>
    <w:rsid w:val="00D87178"/>
    <w:rsid w:val="00D9501B"/>
    <w:rsid w:val="00D96E54"/>
    <w:rsid w:val="00DA4970"/>
    <w:rsid w:val="00DC4B70"/>
    <w:rsid w:val="00DF37D4"/>
    <w:rsid w:val="00DF4D6D"/>
    <w:rsid w:val="00E4265B"/>
    <w:rsid w:val="00E50677"/>
    <w:rsid w:val="00E63823"/>
    <w:rsid w:val="00E65DE5"/>
    <w:rsid w:val="00E65E00"/>
    <w:rsid w:val="00E74658"/>
    <w:rsid w:val="00E80D22"/>
    <w:rsid w:val="00EB2503"/>
    <w:rsid w:val="00ED6FB4"/>
    <w:rsid w:val="00EE1270"/>
    <w:rsid w:val="00EE64CC"/>
    <w:rsid w:val="00F006DA"/>
    <w:rsid w:val="00F058E4"/>
    <w:rsid w:val="00F130E8"/>
    <w:rsid w:val="00F22B07"/>
    <w:rsid w:val="00F27179"/>
    <w:rsid w:val="00F273FF"/>
    <w:rsid w:val="00F33EB4"/>
    <w:rsid w:val="00F46AC5"/>
    <w:rsid w:val="00F5441E"/>
    <w:rsid w:val="00F56A68"/>
    <w:rsid w:val="00F76EA7"/>
    <w:rsid w:val="00F77825"/>
    <w:rsid w:val="00F77D37"/>
    <w:rsid w:val="00FA2110"/>
    <w:rsid w:val="00FA3267"/>
    <w:rsid w:val="00FC5C04"/>
    <w:rsid w:val="00FD0216"/>
    <w:rsid w:val="00FE0AFF"/>
    <w:rsid w:val="00FE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280D8C"/>
  <w15:docId w15:val="{7696A0F8-CA01-49C6-AAD1-3617C127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Normalny ANES"/>
    <w:rsid w:val="00BB35D0"/>
    <w:pPr>
      <w:spacing w:line="360" w:lineRule="auto"/>
    </w:pPr>
    <w:rPr>
      <w:rFonts w:ascii="Arial" w:hAnsi="Arial"/>
      <w:sz w:val="22"/>
      <w:lang w:eastAsia="pl-PL"/>
    </w:rPr>
  </w:style>
  <w:style w:type="paragraph" w:styleId="Nagwek1">
    <w:name w:val="heading 1"/>
    <w:aliases w:val="§1."/>
    <w:basedOn w:val="Normalny"/>
    <w:link w:val="Nagwek1Znak"/>
    <w:qFormat/>
    <w:rsid w:val="00A75FAA"/>
    <w:pPr>
      <w:keepNext/>
      <w:widowControl w:val="0"/>
      <w:numPr>
        <w:numId w:val="14"/>
      </w:numPr>
      <w:suppressAutoHyphens/>
      <w:spacing w:before="600" w:after="60"/>
      <w:outlineLvl w:val="0"/>
    </w:pPr>
    <w:rPr>
      <w:rFonts w:eastAsiaTheme="majorEastAsia" w:cstheme="majorBidi"/>
      <w:b/>
      <w:caps/>
      <w:kern w:val="28"/>
      <w:sz w:val="28"/>
      <w:szCs w:val="28"/>
    </w:rPr>
  </w:style>
  <w:style w:type="paragraph" w:styleId="Nagwek2">
    <w:name w:val="heading 2"/>
    <w:aliases w:val="§1.1,§1.1."/>
    <w:basedOn w:val="Normalny"/>
    <w:next w:val="Normalny"/>
    <w:link w:val="Nagwek2Znak"/>
    <w:rsid w:val="00A75FAA"/>
    <w:pPr>
      <w:keepNext/>
      <w:widowControl w:val="0"/>
      <w:numPr>
        <w:ilvl w:val="1"/>
        <w:numId w:val="14"/>
      </w:numPr>
      <w:spacing w:before="240" w:after="60"/>
      <w:outlineLvl w:val="1"/>
    </w:pPr>
    <w:rPr>
      <w:b/>
      <w:sz w:val="24"/>
      <w:szCs w:val="22"/>
    </w:rPr>
  </w:style>
  <w:style w:type="paragraph" w:styleId="Nagwek3">
    <w:name w:val="heading 3"/>
    <w:aliases w:val="§1.1.1."/>
    <w:basedOn w:val="Normalny"/>
    <w:next w:val="Normalny"/>
    <w:link w:val="Nagwek3Znak"/>
    <w:qFormat/>
    <w:rsid w:val="00A75FAA"/>
    <w:pPr>
      <w:keepNext/>
      <w:numPr>
        <w:ilvl w:val="2"/>
        <w:numId w:val="14"/>
      </w:numPr>
      <w:spacing w:before="120" w:after="60"/>
      <w:outlineLvl w:val="2"/>
    </w:pPr>
    <w:rPr>
      <w:rFonts w:eastAsiaTheme="majorEastAsia" w:cstheme="majorBidi"/>
      <w:sz w:val="24"/>
    </w:rPr>
  </w:style>
  <w:style w:type="paragraph" w:styleId="Nagwek4">
    <w:name w:val="heading 4"/>
    <w:basedOn w:val="Nagwek5"/>
    <w:next w:val="Normalny"/>
    <w:link w:val="Nagwek4Znak"/>
    <w:qFormat/>
    <w:rsid w:val="00072D6B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072D6B"/>
    <w:pPr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A75FAA"/>
    <w:pPr>
      <w:keepNext/>
      <w:spacing w:line="240" w:lineRule="auto"/>
      <w:jc w:val="right"/>
      <w:outlineLvl w:val="5"/>
    </w:pPr>
    <w:rPr>
      <w:rFonts w:ascii="Times New Roman" w:eastAsia="Times New Roman" w:hAnsi="Times New Roman"/>
      <w:sz w:val="24"/>
    </w:rPr>
  </w:style>
  <w:style w:type="paragraph" w:styleId="Nagwek7">
    <w:name w:val="heading 7"/>
    <w:basedOn w:val="Normalny"/>
    <w:next w:val="Normalny"/>
    <w:link w:val="Nagwek7Znak"/>
    <w:qFormat/>
    <w:rsid w:val="00A75FAA"/>
    <w:pPr>
      <w:keepNext/>
      <w:spacing w:line="240" w:lineRule="auto"/>
      <w:outlineLvl w:val="6"/>
    </w:pPr>
    <w:rPr>
      <w:rFonts w:eastAsia="Times New Roman"/>
      <w:color w:val="0000FF"/>
      <w:sz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072D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qFormat/>
    <w:rsid w:val="00A75FAA"/>
    <w:pPr>
      <w:spacing w:before="240" w:after="60"/>
      <w:outlineLvl w:val="8"/>
    </w:pPr>
    <w:rPr>
      <w:rFonts w:eastAsia="Times New Roman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3F3"/>
    <w:pPr>
      <w:ind w:left="720"/>
      <w:contextualSpacing/>
    </w:pPr>
  </w:style>
  <w:style w:type="paragraph" w:customStyle="1" w:styleId="punktowanieANES">
    <w:name w:val="punktowanie ANES"/>
    <w:basedOn w:val="Akapitzlist"/>
    <w:autoRedefine/>
    <w:qFormat/>
    <w:rsid w:val="00190E97"/>
    <w:pPr>
      <w:numPr>
        <w:numId w:val="36"/>
      </w:numPr>
      <w:jc w:val="both"/>
    </w:pPr>
  </w:style>
  <w:style w:type="paragraph" w:customStyle="1" w:styleId="Nagwek1-ANES">
    <w:name w:val="Nagłówek 1-ANES"/>
    <w:basedOn w:val="Nagwek1"/>
    <w:link w:val="Nagwek1-ANESZnak"/>
    <w:autoRedefine/>
    <w:qFormat/>
    <w:rsid w:val="00A75FAA"/>
    <w:pPr>
      <w:numPr>
        <w:numId w:val="22"/>
      </w:numPr>
      <w:spacing w:before="360" w:after="0"/>
    </w:pPr>
    <w:rPr>
      <w:rFonts w:eastAsiaTheme="minorHAnsi" w:cstheme="minorBidi"/>
    </w:rPr>
  </w:style>
  <w:style w:type="character" w:customStyle="1" w:styleId="Nagwek1Znak">
    <w:name w:val="Nagłówek 1 Znak"/>
    <w:aliases w:val="§1. Znak"/>
    <w:basedOn w:val="Domylnaczcionkaakapitu"/>
    <w:link w:val="Nagwek1"/>
    <w:rsid w:val="00A75FAA"/>
    <w:rPr>
      <w:rFonts w:ascii="Arial" w:eastAsiaTheme="majorEastAsia" w:hAnsi="Arial" w:cstheme="majorBidi"/>
      <w:b/>
      <w:caps/>
      <w:kern w:val="28"/>
      <w:sz w:val="28"/>
      <w:szCs w:val="28"/>
      <w:lang w:eastAsia="pl-PL"/>
    </w:rPr>
  </w:style>
  <w:style w:type="character" w:customStyle="1" w:styleId="Nagwek1-ANESZnak">
    <w:name w:val="Nagłówek 1-ANES Znak"/>
    <w:basedOn w:val="Domylnaczcionkaakapitu"/>
    <w:link w:val="Nagwek1-ANES"/>
    <w:rsid w:val="00A75FAA"/>
    <w:rPr>
      <w:rFonts w:ascii="Arial" w:hAnsi="Arial" w:cstheme="minorBidi"/>
      <w:b/>
      <w:caps/>
      <w:kern w:val="28"/>
      <w:sz w:val="28"/>
      <w:szCs w:val="28"/>
      <w:lang w:eastAsia="pl-PL"/>
    </w:rPr>
  </w:style>
  <w:style w:type="paragraph" w:customStyle="1" w:styleId="Nagwek2-ANES">
    <w:name w:val="Nagłówek 2-ANES"/>
    <w:basedOn w:val="Nagwek1-ANES"/>
    <w:next w:val="Nagwek3-ANES"/>
    <w:autoRedefine/>
    <w:rsid w:val="00A75FAA"/>
    <w:pPr>
      <w:keepLines/>
      <w:widowControl/>
      <w:numPr>
        <w:numId w:val="0"/>
      </w:numPr>
      <w:spacing w:before="120"/>
      <w:outlineLvl w:val="1"/>
    </w:pPr>
    <w:rPr>
      <w:rFonts w:eastAsia="Times New Roman" w:cs="Times New Roman"/>
    </w:rPr>
  </w:style>
  <w:style w:type="character" w:customStyle="1" w:styleId="Nagwek2Znak">
    <w:name w:val="Nagłówek 2 Znak"/>
    <w:aliases w:val="§1.1 Znak,§1.1. Znak"/>
    <w:link w:val="Nagwek2"/>
    <w:rsid w:val="00A75FAA"/>
    <w:rPr>
      <w:rFonts w:ascii="Arial" w:hAnsi="Arial"/>
      <w:b/>
      <w:sz w:val="24"/>
      <w:lang w:val="pl-PL" w:eastAsia="pl-PL" w:bidi="ar-SA"/>
    </w:rPr>
  </w:style>
  <w:style w:type="paragraph" w:customStyle="1" w:styleId="Nagwek3-ANES">
    <w:name w:val="Nagłówek 3-ANES"/>
    <w:basedOn w:val="Nagwek3"/>
    <w:autoRedefine/>
    <w:qFormat/>
    <w:rsid w:val="00A75FAA"/>
    <w:pPr>
      <w:numPr>
        <w:numId w:val="15"/>
      </w:numPr>
      <w:spacing w:after="0"/>
      <w:jc w:val="both"/>
    </w:pPr>
    <w:rPr>
      <w:rFonts w:eastAsia="Times New Roman" w:cs="Times New Roman"/>
    </w:rPr>
  </w:style>
  <w:style w:type="character" w:customStyle="1" w:styleId="Nagwek3Znak">
    <w:name w:val="Nagłówek 3 Znak"/>
    <w:aliases w:val="§1.1.1. Znak"/>
    <w:basedOn w:val="Domylnaczcionkaakapitu"/>
    <w:link w:val="Nagwek3"/>
    <w:rsid w:val="00A75FAA"/>
    <w:rPr>
      <w:rFonts w:ascii="Arial" w:eastAsiaTheme="majorEastAsia" w:hAnsi="Arial" w:cstheme="majorBidi"/>
      <w:sz w:val="24"/>
      <w:szCs w:val="20"/>
      <w:lang w:eastAsia="pl-PL"/>
    </w:rPr>
  </w:style>
  <w:style w:type="paragraph" w:customStyle="1" w:styleId="Nagwek4-ANES">
    <w:name w:val="Nagłówek 4-ANES"/>
    <w:basedOn w:val="Nagwek4"/>
    <w:next w:val="Normalny"/>
    <w:autoRedefine/>
    <w:rsid w:val="009D4FBE"/>
    <w:pPr>
      <w:jc w:val="both"/>
    </w:pPr>
    <w:rPr>
      <w:rFonts w:eastAsia="Times New Roman"/>
    </w:rPr>
  </w:style>
  <w:style w:type="character" w:customStyle="1" w:styleId="Nagwek4Znak">
    <w:name w:val="Nagłówek 4 Znak"/>
    <w:basedOn w:val="Domylnaczcionkaakapitu"/>
    <w:link w:val="Nagwek4"/>
    <w:rsid w:val="00072D6B"/>
    <w:rPr>
      <w:rFonts w:ascii="Arial" w:hAnsi="Arial"/>
      <w:sz w:val="22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D6B"/>
    <w:rPr>
      <w:rFonts w:ascii="Arial" w:hAnsi="Arial"/>
      <w:sz w:val="22"/>
      <w:lang w:eastAsia="pl-PL"/>
    </w:rPr>
  </w:style>
  <w:style w:type="character" w:customStyle="1" w:styleId="Nagwek6Znak">
    <w:name w:val="Nagłówek 6 Znak"/>
    <w:basedOn w:val="Domylnaczcionkaakapitu"/>
    <w:link w:val="Nagwek6"/>
    <w:rsid w:val="00A75F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75FAA"/>
    <w:rPr>
      <w:rFonts w:ascii="Arial" w:eastAsia="Times New Roman" w:hAnsi="Arial" w:cs="Times New Roman"/>
      <w:color w:val="0000FF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75FAA"/>
    <w:rPr>
      <w:rFonts w:ascii="Arial" w:eastAsia="Times New Roman" w:hAnsi="Arial" w:cs="Times New Roman"/>
      <w:b/>
      <w:i/>
      <w:sz w:val="18"/>
      <w:szCs w:val="20"/>
      <w:lang w:eastAsia="pl-PL"/>
    </w:rPr>
  </w:style>
  <w:style w:type="table" w:styleId="Tabela-Siatka">
    <w:name w:val="Table Grid"/>
    <w:basedOn w:val="Standardowy"/>
    <w:rsid w:val="00A75FAA"/>
    <w:pPr>
      <w:spacing w:line="36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rsid w:val="00072D6B"/>
    <w:rPr>
      <w:rFonts w:asciiTheme="majorHAnsi" w:eastAsiaTheme="majorEastAsia" w:hAnsiTheme="majorHAnsi" w:cstheme="majorBidi"/>
      <w:color w:val="404040" w:themeColor="text1" w:themeTint="BF"/>
      <w:lang w:eastAsia="pl-PL"/>
    </w:rPr>
  </w:style>
  <w:style w:type="character" w:customStyle="1" w:styleId="Nagwek2-ANESZnak">
    <w:name w:val="Nagłówek 2-ANES Znak"/>
    <w:basedOn w:val="Nagwek2Znak"/>
    <w:rsid w:val="00A75FAA"/>
    <w:rPr>
      <w:rFonts w:ascii="Arial" w:hAnsi="Arial"/>
      <w:b/>
      <w:sz w:val="24"/>
      <w:lang w:val="pl-PL" w:eastAsia="pl-PL" w:bidi="ar-SA"/>
    </w:rPr>
  </w:style>
  <w:style w:type="paragraph" w:customStyle="1" w:styleId="tytuANES">
    <w:name w:val="tytuł ANES"/>
    <w:basedOn w:val="Normalny"/>
    <w:autoRedefine/>
    <w:qFormat/>
    <w:rsid w:val="00072D6B"/>
    <w:pPr>
      <w:spacing w:before="1200" w:after="480"/>
      <w:jc w:val="center"/>
    </w:pPr>
    <w:rPr>
      <w:b/>
      <w:caps/>
      <w:sz w:val="32"/>
    </w:rPr>
  </w:style>
  <w:style w:type="paragraph" w:customStyle="1" w:styleId="nagwek1ANES">
    <w:name w:val="nagłówek 1 ANES"/>
    <w:basedOn w:val="Normalny"/>
    <w:autoRedefine/>
    <w:qFormat/>
    <w:rsid w:val="00EE1270"/>
    <w:pPr>
      <w:keepNext/>
      <w:numPr>
        <w:numId w:val="24"/>
      </w:numPr>
      <w:spacing w:before="360"/>
      <w:ind w:left="0" w:firstLine="0"/>
      <w:outlineLvl w:val="0"/>
    </w:pPr>
    <w:rPr>
      <w:b/>
      <w:sz w:val="28"/>
    </w:rPr>
  </w:style>
  <w:style w:type="paragraph" w:customStyle="1" w:styleId="nagwek2ANES">
    <w:name w:val="nagłówek 2 ANES"/>
    <w:basedOn w:val="Normalny"/>
    <w:autoRedefine/>
    <w:qFormat/>
    <w:rsid w:val="00EE1270"/>
    <w:pPr>
      <w:keepNext/>
      <w:numPr>
        <w:ilvl w:val="1"/>
        <w:numId w:val="24"/>
      </w:numPr>
      <w:spacing w:before="240"/>
      <w:ind w:left="0" w:firstLine="0"/>
      <w:outlineLvl w:val="1"/>
    </w:pPr>
    <w:rPr>
      <w:b/>
      <w:sz w:val="24"/>
    </w:rPr>
  </w:style>
  <w:style w:type="paragraph" w:customStyle="1" w:styleId="nagwek3ANES">
    <w:name w:val="nagłówek 3 ANES"/>
    <w:basedOn w:val="Normalny"/>
    <w:autoRedefine/>
    <w:qFormat/>
    <w:rsid w:val="00EE1270"/>
    <w:pPr>
      <w:keepNext/>
      <w:numPr>
        <w:ilvl w:val="2"/>
        <w:numId w:val="24"/>
      </w:numPr>
      <w:spacing w:before="180"/>
      <w:ind w:left="0" w:firstLine="0"/>
      <w:outlineLvl w:val="2"/>
    </w:pPr>
    <w:rPr>
      <w:sz w:val="24"/>
    </w:rPr>
  </w:style>
  <w:style w:type="paragraph" w:customStyle="1" w:styleId="nagwek4ANES">
    <w:name w:val="nagłówek 4 ANES"/>
    <w:basedOn w:val="Normalny"/>
    <w:autoRedefine/>
    <w:qFormat/>
    <w:rsid w:val="00EE1270"/>
    <w:pPr>
      <w:keepNext/>
      <w:numPr>
        <w:ilvl w:val="3"/>
        <w:numId w:val="24"/>
      </w:numPr>
      <w:spacing w:before="120"/>
      <w:ind w:left="0" w:firstLine="0"/>
      <w:outlineLvl w:val="3"/>
    </w:pPr>
  </w:style>
  <w:style w:type="paragraph" w:styleId="Nagwek">
    <w:name w:val="header"/>
    <w:basedOn w:val="Normalny"/>
    <w:link w:val="NagwekZnak"/>
    <w:unhideWhenUsed/>
    <w:rsid w:val="00077E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EC1"/>
    <w:rPr>
      <w:rFonts w:ascii="Arial" w:hAnsi="Arial"/>
      <w:sz w:val="22"/>
      <w:lang w:eastAsia="pl-PL"/>
    </w:rPr>
  </w:style>
  <w:style w:type="paragraph" w:styleId="Stopka">
    <w:name w:val="footer"/>
    <w:basedOn w:val="Normalny"/>
    <w:link w:val="StopkaZnak"/>
    <w:unhideWhenUsed/>
    <w:rsid w:val="00077E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077EC1"/>
    <w:rPr>
      <w:rFonts w:ascii="Arial" w:hAnsi="Arial"/>
      <w:sz w:val="22"/>
      <w:lang w:eastAsia="pl-PL"/>
    </w:rPr>
  </w:style>
  <w:style w:type="character" w:styleId="Numerstrony">
    <w:name w:val="page number"/>
    <w:basedOn w:val="Domylnaczcionkaakapitu"/>
    <w:rsid w:val="00077EC1"/>
  </w:style>
  <w:style w:type="paragraph" w:styleId="Podtytu">
    <w:name w:val="Subtitle"/>
    <w:basedOn w:val="Normalny"/>
    <w:next w:val="Normalny"/>
    <w:link w:val="PodtytuZnak"/>
    <w:qFormat/>
    <w:rsid w:val="00716D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716D4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138F1"/>
    <w:pPr>
      <w:tabs>
        <w:tab w:val="left" w:pos="440"/>
        <w:tab w:val="right" w:leader="dot" w:pos="9062"/>
      </w:tabs>
    </w:pPr>
    <w:rPr>
      <w:rFonts w:asciiTheme="minorHAnsi" w:hAnsiTheme="minorHAnsi"/>
      <w:b/>
      <w:bCs/>
      <w:caps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80797"/>
    <w:pPr>
      <w:tabs>
        <w:tab w:val="left" w:pos="880"/>
        <w:tab w:val="right" w:leader="dot" w:pos="9062"/>
      </w:tabs>
      <w:ind w:left="220"/>
    </w:pPr>
    <w:rPr>
      <w:rFonts w:asciiTheme="minorHAnsi" w:hAnsiTheme="minorHAnsi"/>
      <w:smallCaps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16D4A"/>
    <w:pPr>
      <w:ind w:left="440"/>
    </w:pPr>
    <w:rPr>
      <w:rFonts w:asciiTheme="minorHAnsi" w:hAnsiTheme="minorHAns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16D4A"/>
    <w:pPr>
      <w:ind w:left="66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16D4A"/>
    <w:pPr>
      <w:ind w:left="88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16D4A"/>
    <w:pPr>
      <w:ind w:left="11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16D4A"/>
    <w:pPr>
      <w:ind w:left="132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16D4A"/>
    <w:pPr>
      <w:ind w:left="154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16D4A"/>
    <w:pPr>
      <w:ind w:left="1760"/>
    </w:pPr>
    <w:rPr>
      <w:rFonts w:asciiTheme="minorHAnsi" w:hAnsiTheme="minorHAnsi"/>
      <w:sz w:val="18"/>
      <w:szCs w:val="18"/>
    </w:rPr>
  </w:style>
  <w:style w:type="character" w:styleId="Hipercze">
    <w:name w:val="Hyperlink"/>
    <w:uiPriority w:val="99"/>
    <w:rsid w:val="007D300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325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9A2835"/>
    <w:rPr>
      <w:color w:val="808080"/>
    </w:rPr>
  </w:style>
  <w:style w:type="paragraph" w:customStyle="1" w:styleId="Punktowanie-ANES">
    <w:name w:val="Punktowanie-ANES"/>
    <w:basedOn w:val="Normalny"/>
    <w:rsid w:val="00E80D22"/>
    <w:pPr>
      <w:tabs>
        <w:tab w:val="num" w:pos="473"/>
      </w:tabs>
      <w:ind w:left="454" w:hanging="341"/>
      <w:jc w:val="both"/>
    </w:pPr>
    <w:rPr>
      <w:rFonts w:eastAsia="Times New Roman"/>
    </w:rPr>
  </w:style>
  <w:style w:type="character" w:styleId="Odwoaniedokomentarza">
    <w:name w:val="annotation reference"/>
    <w:basedOn w:val="Domylnaczcionkaakapitu"/>
    <w:semiHidden/>
    <w:unhideWhenUsed/>
    <w:rsid w:val="00687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EC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EC5"/>
    <w:rPr>
      <w:rFonts w:ascii="Arial" w:hAnsi="Aria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EC5"/>
    <w:rPr>
      <w:rFonts w:ascii="Arial" w:hAnsi="Arial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E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EC5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7032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0320A"/>
    <w:rPr>
      <w:rFonts w:ascii="Arial" w:hAnsi="Arial"/>
      <w:sz w:val="22"/>
      <w:lang w:eastAsia="pl-PL"/>
    </w:rPr>
  </w:style>
  <w:style w:type="paragraph" w:customStyle="1" w:styleId="Tekstpodstawowy-ANES">
    <w:name w:val="Tekst podstawowy - ANES"/>
    <w:basedOn w:val="Tekstpodstawowy"/>
    <w:link w:val="Tekstpodstawowy-ANESZnak"/>
    <w:rsid w:val="00CA7410"/>
    <w:pPr>
      <w:jc w:val="both"/>
    </w:pPr>
    <w:rPr>
      <w:rFonts w:eastAsia="Times New Roman"/>
    </w:rPr>
  </w:style>
  <w:style w:type="character" w:customStyle="1" w:styleId="Tekstpodstawowy-ANESZnak">
    <w:name w:val="Tekst podstawowy - ANES Znak"/>
    <w:link w:val="Tekstpodstawowy-ANES"/>
    <w:locked/>
    <w:rsid w:val="00CA7410"/>
    <w:rPr>
      <w:rFonts w:ascii="Arial" w:eastAsia="Times New Roman" w:hAnsi="Arial"/>
      <w:sz w:val="22"/>
      <w:lang w:eastAsia="pl-PL"/>
    </w:rPr>
  </w:style>
  <w:style w:type="paragraph" w:customStyle="1" w:styleId="Nagwek1-TB">
    <w:name w:val="Nagłówek 1-TB"/>
    <w:basedOn w:val="Nagwek1-ANES"/>
    <w:uiPriority w:val="99"/>
    <w:rsid w:val="00CA7410"/>
    <w:pPr>
      <w:numPr>
        <w:numId w:val="0"/>
      </w:numPr>
      <w:tabs>
        <w:tab w:val="left" w:pos="964"/>
      </w:tabs>
      <w:spacing w:before="600" w:after="60"/>
      <w:ind w:left="397" w:hanging="397"/>
    </w:pPr>
    <w:rPr>
      <w:rFonts w:eastAsia="Calibri" w:cs="Times New Roman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CA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A7410"/>
    <w:rPr>
      <w:rFonts w:ascii="Arial" w:hAnsi="Arial"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E3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F22B0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22B07"/>
    <w:rPr>
      <w:rFonts w:ascii="Arial" w:hAnsi="Arial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F22B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olifarb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8A3BD-AEA2-4264-80FA-479A764D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1792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Anes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Sztandera</dc:creator>
  <cp:lastModifiedBy>Piotr Harasimczuk</cp:lastModifiedBy>
  <cp:revision>5</cp:revision>
  <cp:lastPrinted>2022-04-11T10:34:00Z</cp:lastPrinted>
  <dcterms:created xsi:type="dcterms:W3CDTF">2023-10-11T09:22:00Z</dcterms:created>
  <dcterms:modified xsi:type="dcterms:W3CDTF">2023-10-13T10:21:00Z</dcterms:modified>
</cp:coreProperties>
</file>